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B8C61" w14:textId="77777777" w:rsidR="006953B0" w:rsidRDefault="002B6FA4" w:rsidP="00736701">
      <w:pPr>
        <w:pStyle w:val="FP"/>
        <w:tabs>
          <w:tab w:val="left" w:pos="567"/>
        </w:tabs>
        <w:rPr>
          <w:rFonts w:ascii="Arial" w:hAnsi="Arial" w:cs="Arial"/>
          <w:b/>
          <w:bCs/>
          <w:color w:val="808080"/>
          <w:sz w:val="26"/>
          <w:szCs w:val="26"/>
        </w:rPr>
      </w:pPr>
      <w:bookmarkStart w:id="0" w:name="OLE_LINK1"/>
      <w:bookmarkStart w:id="1" w:name="OLE_LINK2"/>
      <w:r w:rsidRPr="008D2924">
        <w:rPr>
          <w:rFonts w:asciiTheme="minorBidi" w:hAnsiTheme="minorBidi" w:cstheme="minorBidi"/>
          <w:b/>
          <w:bCs/>
          <w:sz w:val="24"/>
          <w:szCs w:val="24"/>
        </w:rPr>
        <w:t>3GPP TSG-RAN Meeting #9</w:t>
      </w:r>
      <w:r w:rsidR="00DB27AE">
        <w:rPr>
          <w:rFonts w:asciiTheme="minorBidi" w:hAnsiTheme="minorBidi" w:cstheme="minorBidi"/>
          <w:b/>
          <w:bCs/>
          <w:sz w:val="24"/>
          <w:szCs w:val="24"/>
        </w:rPr>
        <w:t>1</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E84FD6">
        <w:rPr>
          <w:rFonts w:asciiTheme="minorBidi" w:hAnsiTheme="minorBidi" w:cstheme="minorBidi"/>
          <w:b/>
          <w:bCs/>
          <w:sz w:val="24"/>
          <w:szCs w:val="24"/>
        </w:rPr>
        <w:t xml:space="preserve">                    </w:t>
      </w:r>
      <w:r w:rsidR="006953B0" w:rsidRPr="00830357">
        <w:rPr>
          <w:rFonts w:ascii="Arial" w:hAnsi="Arial" w:cs="Arial"/>
          <w:b/>
          <w:bCs/>
          <w:sz w:val="26"/>
          <w:szCs w:val="26"/>
        </w:rPr>
        <w:t>RP-210439</w:t>
      </w:r>
    </w:p>
    <w:p w14:paraId="34556059" w14:textId="77777777"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DB27AE">
        <w:rPr>
          <w:rFonts w:asciiTheme="minorBidi" w:hAnsiTheme="minorBidi" w:cstheme="minorBidi"/>
          <w:b/>
          <w:bCs/>
          <w:sz w:val="24"/>
          <w:szCs w:val="24"/>
        </w:rPr>
        <w:t>March 22</w:t>
      </w:r>
      <w:r w:rsidRPr="008D2924">
        <w:rPr>
          <w:rFonts w:asciiTheme="minorBidi" w:hAnsiTheme="minorBidi" w:cstheme="minorBidi"/>
          <w:b/>
          <w:bCs/>
          <w:sz w:val="24"/>
          <w:szCs w:val="24"/>
        </w:rPr>
        <w:t>–</w:t>
      </w:r>
      <w:r w:rsidR="00DB27AE">
        <w:rPr>
          <w:rFonts w:asciiTheme="minorBidi" w:hAnsiTheme="minorBidi" w:cstheme="minorBidi"/>
          <w:b/>
          <w:bCs/>
          <w:sz w:val="24"/>
          <w:szCs w:val="24"/>
        </w:rPr>
        <w:t>26</w:t>
      </w:r>
      <w:r w:rsidR="0004532D">
        <w:rPr>
          <w:rFonts w:asciiTheme="minorBidi" w:hAnsiTheme="minorBidi" w:cstheme="minorBidi"/>
          <w:b/>
          <w:bCs/>
          <w:sz w:val="24"/>
          <w:szCs w:val="24"/>
        </w:rPr>
        <w:t xml:space="preserve"> </w:t>
      </w:r>
      <w:r w:rsidRPr="008D2924">
        <w:rPr>
          <w:rFonts w:asciiTheme="minorBidi" w:hAnsiTheme="minorBidi" w:cstheme="minorBidi"/>
          <w:b/>
          <w:bCs/>
          <w:sz w:val="24"/>
          <w:szCs w:val="24"/>
        </w:rPr>
        <w:t>202</w:t>
      </w:r>
      <w:r w:rsidR="0004532D">
        <w:rPr>
          <w:rFonts w:asciiTheme="minorBidi" w:hAnsiTheme="minorBidi" w:cstheme="minorBidi"/>
          <w:b/>
          <w:bCs/>
          <w:sz w:val="24"/>
          <w:szCs w:val="24"/>
        </w:rPr>
        <w:t>1</w:t>
      </w:r>
      <w:r w:rsidRPr="008D2924">
        <w:rPr>
          <w:rFonts w:asciiTheme="minorBidi" w:hAnsiTheme="minorBidi" w:cstheme="minorBidi"/>
          <w:b/>
          <w:sz w:val="24"/>
          <w:szCs w:val="24"/>
        </w:rPr>
        <w:t xml:space="preserve"> </w:t>
      </w:r>
    </w:p>
    <w:p w14:paraId="4A5DFA97"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12635EE8"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093C9AEA" w14:textId="316DA526"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735D9A" w:rsidRPr="00735D9A">
        <w:rPr>
          <w:rFonts w:asciiTheme="minorBidi" w:eastAsia="Batang" w:hAnsiTheme="minorBidi"/>
          <w:b/>
          <w:lang w:val="en-GB" w:eastAsia="zh-CN"/>
        </w:rPr>
        <w:t xml:space="preserve">Ka-band </w:t>
      </w:r>
      <w:r w:rsidR="00850E0E">
        <w:rPr>
          <w:rFonts w:asciiTheme="minorBidi" w:eastAsia="Batang" w:hAnsiTheme="minorBidi"/>
          <w:b/>
          <w:lang w:val="en-GB" w:eastAsia="zh-CN"/>
        </w:rPr>
        <w:t xml:space="preserve">proposed as </w:t>
      </w:r>
      <w:r w:rsidR="00850E0E" w:rsidRPr="00735D9A">
        <w:rPr>
          <w:rFonts w:asciiTheme="minorBidi" w:eastAsia="Batang" w:hAnsiTheme="minorBidi"/>
          <w:b/>
          <w:lang w:val="en-GB" w:eastAsia="zh-CN"/>
        </w:rPr>
        <w:t xml:space="preserve">exemplary band </w:t>
      </w:r>
      <w:r w:rsidR="00735D9A" w:rsidRPr="00735D9A">
        <w:rPr>
          <w:rFonts w:asciiTheme="minorBidi" w:eastAsia="Batang" w:hAnsiTheme="minorBidi"/>
          <w:b/>
          <w:lang w:val="en-GB" w:eastAsia="zh-CN"/>
        </w:rPr>
        <w:t>for NR-NTN in Rel-17</w:t>
      </w:r>
    </w:p>
    <w:p w14:paraId="750FB20F" w14:textId="700B6E98"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322B3C">
        <w:rPr>
          <w:rFonts w:asciiTheme="minorBidi" w:eastAsia="Batang" w:hAnsiTheme="minorBidi"/>
          <w:b/>
          <w:lang w:val="en-GB" w:eastAsia="zh-CN"/>
        </w:rPr>
        <w:t xml:space="preserve">Hughes, </w:t>
      </w:r>
      <w:r w:rsidR="001E4EC8">
        <w:rPr>
          <w:rFonts w:asciiTheme="minorBidi" w:eastAsia="Batang" w:hAnsiTheme="minorBidi"/>
          <w:b/>
          <w:lang w:val="en-GB" w:eastAsia="zh-CN"/>
        </w:rPr>
        <w:t xml:space="preserve">Inmarsat, </w:t>
      </w:r>
      <w:r w:rsidR="00322B3C">
        <w:rPr>
          <w:rFonts w:asciiTheme="minorBidi" w:eastAsia="Batang" w:hAnsiTheme="minorBidi"/>
          <w:b/>
          <w:lang w:val="en-GB" w:eastAsia="zh-CN"/>
        </w:rPr>
        <w:t>Thales,</w:t>
      </w:r>
      <w:r w:rsidR="00105761">
        <w:rPr>
          <w:rFonts w:asciiTheme="minorBidi" w:eastAsia="Batang" w:hAnsiTheme="minorBidi"/>
          <w:b/>
          <w:lang w:val="en-GB" w:eastAsia="zh-CN"/>
        </w:rPr>
        <w:t xml:space="preserve"> Panasonic, Fraunhofer, ESA</w:t>
      </w:r>
      <w:r w:rsidR="00E41086">
        <w:rPr>
          <w:rFonts w:asciiTheme="minorBidi" w:eastAsia="Batang" w:hAnsiTheme="minorBidi"/>
          <w:b/>
          <w:lang w:val="en-GB" w:eastAsia="zh-CN"/>
        </w:rPr>
        <w:t>, Intelsat</w:t>
      </w:r>
      <w:bookmarkStart w:id="2" w:name="_GoBack"/>
      <w:bookmarkEnd w:id="2"/>
    </w:p>
    <w:p w14:paraId="762EEC59"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012DF8C3" w14:textId="77777777"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57719B">
        <w:rPr>
          <w:rFonts w:asciiTheme="minorBidi" w:hAnsiTheme="minorBidi"/>
          <w:b/>
          <w:lang w:val="en-GB" w:eastAsia="zh-CN"/>
        </w:rPr>
        <w:t>Decision</w:t>
      </w:r>
    </w:p>
    <w:p w14:paraId="5BAD1001" w14:textId="77777777" w:rsidR="006953B0" w:rsidRDefault="002B6FA4" w:rsidP="006953B0">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6953B0" w:rsidRPr="006953B0">
        <w:rPr>
          <w:rFonts w:asciiTheme="minorBidi" w:eastAsia="Batang" w:hAnsiTheme="minorBidi"/>
          <w:b/>
          <w:lang w:val="en-GB" w:eastAsia="zh-CN"/>
        </w:rPr>
        <w:t>9.7.6</w:t>
      </w:r>
    </w:p>
    <w:p w14:paraId="194BD4ED" w14:textId="77777777" w:rsidR="002B6FA4" w:rsidRPr="008D2924" w:rsidRDefault="002B6FA4" w:rsidP="006953B0">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14:paraId="0D344FE2" w14:textId="77777777" w:rsidR="006A1A84" w:rsidRPr="008D2924" w:rsidRDefault="006A1A84" w:rsidP="006A1A84">
      <w:pPr>
        <w:pStyle w:val="TdocHeader2"/>
        <w:rPr>
          <w:rFonts w:asciiTheme="minorBidi" w:hAnsiTheme="minorBidi" w:cstheme="minorBidi"/>
          <w:sz w:val="20"/>
        </w:rPr>
      </w:pPr>
    </w:p>
    <w:bookmarkEnd w:id="0"/>
    <w:bookmarkEnd w:id="1"/>
    <w:p w14:paraId="2AE94507" w14:textId="77777777" w:rsidR="006A1A84" w:rsidRPr="008D2924" w:rsidRDefault="00DA0946" w:rsidP="00623D46">
      <w:pPr>
        <w:pStyle w:val="Heading1"/>
        <w:rPr>
          <w:rFonts w:asciiTheme="minorBidi" w:eastAsiaTheme="majorEastAsia" w:hAnsiTheme="minorBidi" w:cstheme="minorBidi"/>
        </w:rPr>
      </w:pPr>
      <w:r w:rsidRPr="008D2924">
        <w:rPr>
          <w:rFonts w:asciiTheme="minorBidi" w:eastAsiaTheme="majorEastAsia" w:hAnsiTheme="minorBidi" w:cstheme="minorBidi"/>
        </w:rPr>
        <w:t>Introduction</w:t>
      </w:r>
      <w:r w:rsidR="00374CD3">
        <w:rPr>
          <w:rFonts w:asciiTheme="minorBidi" w:eastAsiaTheme="majorEastAsia" w:hAnsiTheme="minorBidi" w:cstheme="minorBidi"/>
        </w:rPr>
        <w:t xml:space="preserve"> </w:t>
      </w:r>
    </w:p>
    <w:p w14:paraId="5209F2A9" w14:textId="77777777" w:rsidR="00281BD0" w:rsidRDefault="00281BD0" w:rsidP="00016832">
      <w:pPr>
        <w:spacing w:after="0" w:line="240" w:lineRule="auto"/>
        <w:jc w:val="both"/>
        <w:rPr>
          <w:rFonts w:cstheme="minorHAnsi"/>
          <w:lang w:val="en-GB"/>
        </w:rPr>
      </w:pPr>
    </w:p>
    <w:p w14:paraId="62AF246B" w14:textId="316C6B45" w:rsidR="00281BD0" w:rsidRDefault="00281BD0" w:rsidP="00D56C0F">
      <w:pPr>
        <w:spacing w:after="0" w:line="240" w:lineRule="auto"/>
        <w:jc w:val="both"/>
        <w:rPr>
          <w:rFonts w:cstheme="minorHAnsi"/>
          <w:lang w:val="en-GB"/>
        </w:rPr>
      </w:pPr>
      <w:r>
        <w:rPr>
          <w:rFonts w:cstheme="minorHAnsi"/>
          <w:lang w:val="en-GB"/>
        </w:rPr>
        <w:t>As identified during the study phase, satellite networks operating in the so called Ka band (20, 30 GH</w:t>
      </w:r>
      <w:r w:rsidR="00845F66">
        <w:rPr>
          <w:rFonts w:cstheme="minorHAnsi"/>
          <w:lang w:val="en-GB"/>
        </w:rPr>
        <w:t>z</w:t>
      </w:r>
      <w:r>
        <w:rPr>
          <w:rFonts w:cstheme="minorHAnsi"/>
          <w:lang w:val="en-GB"/>
        </w:rPr>
        <w:t xml:space="preserve">) allocated to satellite services will benefit from the use of the New Radio protocol to provide 5G eMBB and backhaul services </w:t>
      </w:r>
      <w:r w:rsidR="009B1C54">
        <w:rPr>
          <w:rFonts w:cstheme="minorHAnsi"/>
          <w:lang w:val="en-GB"/>
        </w:rPr>
        <w:t xml:space="preserve">via </w:t>
      </w:r>
      <w:r>
        <w:rPr>
          <w:rFonts w:cstheme="minorHAnsi"/>
          <w:lang w:val="en-GB"/>
        </w:rPr>
        <w:t>“VSAT” type terminals including roof top and moving platform mounted</w:t>
      </w:r>
      <w:r w:rsidR="00B93D36">
        <w:rPr>
          <w:rFonts w:cstheme="minorHAnsi"/>
          <w:lang w:val="en-GB"/>
        </w:rPr>
        <w:t xml:space="preserve"> (ESIM)</w:t>
      </w:r>
      <w:r>
        <w:rPr>
          <w:rFonts w:cstheme="minorHAnsi"/>
          <w:lang w:val="en-GB"/>
        </w:rPr>
        <w:t xml:space="preserve"> devices and to support seamless integration with the 5G system.</w:t>
      </w:r>
    </w:p>
    <w:p w14:paraId="741513B4" w14:textId="77777777" w:rsidR="00281BD0" w:rsidRDefault="00281BD0" w:rsidP="00E84FD6">
      <w:pPr>
        <w:spacing w:after="0" w:line="240" w:lineRule="auto"/>
        <w:jc w:val="both"/>
        <w:rPr>
          <w:rFonts w:cstheme="minorHAnsi"/>
          <w:lang w:val="en-GB"/>
        </w:rPr>
      </w:pPr>
    </w:p>
    <w:p w14:paraId="67A1E3BD" w14:textId="77777777" w:rsidR="004A0E08" w:rsidRPr="004D75EC" w:rsidRDefault="004A0E08" w:rsidP="00E9252C">
      <w:pPr>
        <w:jc w:val="both"/>
        <w:rPr>
          <w:rFonts w:cstheme="minorHAnsi"/>
          <w:b/>
          <w:bCs/>
          <w:lang w:eastAsia="fr-FR"/>
        </w:rPr>
      </w:pPr>
      <w:r>
        <w:t>As in the WF R4-2103877 [2] and a</w:t>
      </w:r>
      <w:r>
        <w:rPr>
          <w:rFonts w:cstheme="minorHAnsi"/>
          <w:lang w:eastAsia="fr-FR"/>
        </w:rPr>
        <w:t xml:space="preserve">s recommendation in session chair note – this discussion need to be handled in RAN#91-e. </w:t>
      </w:r>
      <w:r w:rsidRPr="000648EA">
        <w:rPr>
          <w:rFonts w:cstheme="minorHAnsi"/>
          <w:lang w:val="en-GB" w:eastAsia="fr-FR"/>
        </w:rPr>
        <w:t>The GTW Agreements</w:t>
      </w:r>
      <w:r>
        <w:rPr>
          <w:rFonts w:cstheme="minorHAnsi"/>
          <w:b/>
          <w:bCs/>
          <w:lang w:val="en-GB" w:eastAsia="fr-FR"/>
        </w:rPr>
        <w:t xml:space="preserve"> “</w:t>
      </w:r>
      <w:r w:rsidRPr="004D75EC">
        <w:rPr>
          <w:rFonts w:cstheme="minorHAnsi"/>
          <w:b/>
          <w:bCs/>
          <w:lang w:val="en-GB" w:eastAsia="fr-FR"/>
        </w:rPr>
        <w:t xml:space="preserve">It’s FFS whether Ka bands can be introduced in the Rel-17 NTN WD as exemplary band with FR2 usage assumption pending on RAN-P decision. </w:t>
      </w:r>
    </w:p>
    <w:p w14:paraId="48AAB389" w14:textId="0DAFD46B" w:rsidR="00281BD0" w:rsidRDefault="00F276A0" w:rsidP="00D56C0F">
      <w:pPr>
        <w:spacing w:after="0" w:line="240" w:lineRule="auto"/>
        <w:jc w:val="both"/>
        <w:rPr>
          <w:rFonts w:cstheme="minorHAnsi"/>
          <w:lang w:val="en-GB"/>
        </w:rPr>
      </w:pPr>
      <w:r>
        <w:rPr>
          <w:rFonts w:cstheme="minorHAnsi"/>
          <w:lang w:val="en-GB"/>
        </w:rPr>
        <w:t xml:space="preserve">In this paper, we propose that </w:t>
      </w:r>
      <w:r w:rsidR="00B93D36">
        <w:rPr>
          <w:rFonts w:cstheme="minorHAnsi"/>
          <w:lang w:val="en-GB"/>
        </w:rPr>
        <w:t xml:space="preserve">satellite </w:t>
      </w:r>
      <w:r w:rsidR="00601B0F">
        <w:rPr>
          <w:rFonts w:cstheme="minorHAnsi"/>
          <w:lang w:val="en-GB"/>
        </w:rPr>
        <w:t xml:space="preserve">Ka </w:t>
      </w:r>
      <w:r>
        <w:rPr>
          <w:rFonts w:cstheme="minorHAnsi"/>
          <w:lang w:val="en-GB"/>
        </w:rPr>
        <w:t xml:space="preserve">band </w:t>
      </w:r>
      <w:r w:rsidR="00416F0B">
        <w:rPr>
          <w:rFonts w:cstheme="minorHAnsi"/>
          <w:lang w:val="en-GB"/>
        </w:rPr>
        <w:t xml:space="preserve">to </w:t>
      </w:r>
      <w:r>
        <w:rPr>
          <w:rFonts w:cstheme="minorHAnsi"/>
          <w:lang w:val="en-GB"/>
        </w:rPr>
        <w:t xml:space="preserve">be considered as an exemplary </w:t>
      </w:r>
      <w:r w:rsidR="00AE0417">
        <w:rPr>
          <w:rFonts w:cstheme="minorHAnsi"/>
          <w:lang w:val="en-GB"/>
        </w:rPr>
        <w:t xml:space="preserve">for FR2 and </w:t>
      </w:r>
      <w:r>
        <w:rPr>
          <w:rFonts w:cstheme="minorHAnsi"/>
          <w:lang w:val="en-GB"/>
        </w:rPr>
        <w:t>FR2</w:t>
      </w:r>
      <w:r w:rsidR="00416F0B">
        <w:rPr>
          <w:rFonts w:cstheme="minorHAnsi"/>
          <w:lang w:val="en-GB"/>
        </w:rPr>
        <w:t>-like</w:t>
      </w:r>
      <w:r>
        <w:rPr>
          <w:rFonts w:cstheme="minorHAnsi"/>
          <w:lang w:val="en-GB"/>
        </w:rPr>
        <w:t xml:space="preserve"> band for the NR-NTN-solutions Work Item</w:t>
      </w:r>
      <w:r w:rsidR="00C72976">
        <w:rPr>
          <w:rFonts w:cstheme="minorHAnsi"/>
          <w:lang w:val="en-GB"/>
        </w:rPr>
        <w:t xml:space="preserve"> in line with the study phase outcome reflected in TR 38.821</w:t>
      </w:r>
      <w:r w:rsidR="004A0E08">
        <w:rPr>
          <w:rFonts w:cstheme="minorHAnsi"/>
          <w:lang w:val="en-GB"/>
        </w:rPr>
        <w:t xml:space="preserve"> and propose a way on how to handle this band that falls across FR2 lower boundary</w:t>
      </w:r>
      <w:r w:rsidR="00601B0F">
        <w:rPr>
          <w:rFonts w:cstheme="minorHAnsi"/>
          <w:lang w:val="en-GB"/>
        </w:rPr>
        <w:t>.</w:t>
      </w:r>
    </w:p>
    <w:p w14:paraId="57B65B7F" w14:textId="77777777" w:rsidR="00F276A0" w:rsidRDefault="00F276A0" w:rsidP="00016832">
      <w:pPr>
        <w:spacing w:after="0" w:line="240" w:lineRule="auto"/>
        <w:jc w:val="both"/>
        <w:rPr>
          <w:rFonts w:cstheme="minorHAnsi"/>
          <w:lang w:val="en-GB"/>
        </w:rPr>
      </w:pPr>
    </w:p>
    <w:p w14:paraId="09E0F0FB" w14:textId="77777777" w:rsidR="003D548A" w:rsidRDefault="003D548A" w:rsidP="001C25E1">
      <w:pPr>
        <w:spacing w:after="0"/>
        <w:rPr>
          <w:rFonts w:cstheme="minorHAnsi"/>
          <w:lang w:eastAsia="fr-FR"/>
        </w:rPr>
      </w:pPr>
    </w:p>
    <w:p w14:paraId="1589787F" w14:textId="77777777" w:rsidR="00CA6B34" w:rsidRDefault="00CA6B34" w:rsidP="00CA6B34">
      <w:pPr>
        <w:spacing w:after="0"/>
        <w:rPr>
          <w:rFonts w:cstheme="minorHAnsi"/>
          <w:lang w:eastAsia="fr-FR"/>
        </w:rPr>
      </w:pPr>
    </w:p>
    <w:p w14:paraId="55E05329" w14:textId="77777777" w:rsidR="00DA5C3C" w:rsidRPr="00DD1389" w:rsidRDefault="00801688">
      <w:pPr>
        <w:pStyle w:val="Heading1"/>
        <w:rPr>
          <w:rFonts w:eastAsiaTheme="majorEastAsia"/>
        </w:rPr>
      </w:pPr>
      <w:r>
        <w:rPr>
          <w:lang w:eastAsia="fr-FR"/>
        </w:rPr>
        <w:t>Discussion</w:t>
      </w:r>
      <w:r w:rsidR="007326A7" w:rsidRPr="00DD1389">
        <w:rPr>
          <w:rFonts w:eastAsiaTheme="majorEastAsia"/>
        </w:rPr>
        <w:t xml:space="preserve"> </w:t>
      </w:r>
    </w:p>
    <w:p w14:paraId="19E3407C" w14:textId="77777777" w:rsidR="00F45542" w:rsidRPr="00AD6D51" w:rsidRDefault="00171383">
      <w:pPr>
        <w:pStyle w:val="Heading2"/>
        <w:rPr>
          <w:color w:val="0000FF"/>
        </w:rPr>
      </w:pPr>
      <w:bookmarkStart w:id="3" w:name="_Toc493127338"/>
      <w:r w:rsidRPr="00142257">
        <w:t xml:space="preserve">2.1 </w:t>
      </w:r>
      <w:r w:rsidR="0092064F">
        <w:t>Regulatory aspect</w:t>
      </w:r>
    </w:p>
    <w:p w14:paraId="3E2DA0CD" w14:textId="77777777" w:rsidR="00877C09" w:rsidRPr="007706CC" w:rsidRDefault="00486375" w:rsidP="00E9252C">
      <w:pPr>
        <w:spacing w:after="0"/>
        <w:jc w:val="both"/>
        <w:rPr>
          <w:rFonts w:cstheme="minorHAnsi"/>
          <w:lang w:val="en-GB" w:eastAsia="fr-FR"/>
        </w:rPr>
      </w:pPr>
      <w:r w:rsidRPr="00486375">
        <w:rPr>
          <w:lang w:val="en-GB"/>
        </w:rPr>
        <w:t xml:space="preserve">The following bands are commonly referred to as “Ka band” and identified by ITU Radio Regulation for use by Geo-stationary Orbit (GEO) and Non-Geostationary Orbit (NGSO) based </w:t>
      </w:r>
      <w:r w:rsidR="00E2464D">
        <w:rPr>
          <w:lang w:val="en-GB"/>
        </w:rPr>
        <w:t>s</w:t>
      </w:r>
      <w:r w:rsidRPr="00486375">
        <w:rPr>
          <w:lang w:val="en-GB"/>
        </w:rPr>
        <w:t>atellite services on a worldwide basis</w:t>
      </w:r>
      <w:r w:rsidR="00AC591F">
        <w:rPr>
          <w:lang w:val="en-GB"/>
        </w:rPr>
        <w:t>, historically denominated as “FSS” and “MSS”</w:t>
      </w:r>
      <w:r w:rsidRPr="00486375">
        <w:rPr>
          <w:lang w:val="en-GB"/>
        </w:rPr>
        <w:t>.</w:t>
      </w:r>
      <w:r w:rsidRPr="00486375">
        <w:rPr>
          <w:b/>
          <w:lang w:val="en-GB"/>
        </w:rPr>
        <w:t xml:space="preserve"> </w:t>
      </w:r>
      <w:r w:rsidR="00D92F7C">
        <w:t>The</w:t>
      </w:r>
      <w:r w:rsidR="00F33D21" w:rsidRPr="00962B6B">
        <w:t xml:space="preserve"> duplex mode </w:t>
      </w:r>
      <w:r w:rsidR="00F33D21">
        <w:t xml:space="preserve">for </w:t>
      </w:r>
      <w:r w:rsidR="001822C2">
        <w:t>all satellite bands</w:t>
      </w:r>
      <w:r w:rsidR="00EA6C69">
        <w:t xml:space="preserve"> </w:t>
      </w:r>
      <w:r w:rsidR="00D92F7C">
        <w:t xml:space="preserve">is </w:t>
      </w:r>
      <w:r w:rsidR="00D92F7C" w:rsidRPr="00962B6B">
        <w:t>FDD</w:t>
      </w:r>
      <w:r w:rsidR="00D92F7C" w:rsidRPr="00802525">
        <w:t xml:space="preserve"> </w:t>
      </w:r>
      <w:r w:rsidR="00EA6C69">
        <w:t xml:space="preserve">and therefore the </w:t>
      </w:r>
      <w:r w:rsidR="008815A5">
        <w:t xml:space="preserve">bands </w:t>
      </w:r>
      <w:r w:rsidR="00A77F00">
        <w:t>are distinctly</w:t>
      </w:r>
      <w:r w:rsidR="008815A5">
        <w:t xml:space="preserve"> </w:t>
      </w:r>
      <w:r w:rsidR="00CB59E1">
        <w:t xml:space="preserve">assigned </w:t>
      </w:r>
      <w:r w:rsidR="008815A5">
        <w:t xml:space="preserve">to </w:t>
      </w:r>
      <w:r w:rsidR="00AB4C9D">
        <w:t>UL and DL ranges.</w:t>
      </w:r>
      <w:r w:rsidR="00877C09" w:rsidRPr="00877C09">
        <w:rPr>
          <w:rFonts w:cstheme="minorHAnsi"/>
          <w:lang w:eastAsia="fr-FR"/>
        </w:rPr>
        <w:t xml:space="preserve"> </w:t>
      </w:r>
      <w:r w:rsidR="00877C09" w:rsidRPr="00D54249">
        <w:rPr>
          <w:rFonts w:cstheme="minorHAnsi"/>
          <w:lang w:eastAsia="fr-FR"/>
        </w:rPr>
        <w:t>The</w:t>
      </w:r>
      <w:r w:rsidR="00877C09">
        <w:rPr>
          <w:rFonts w:cstheme="minorHAnsi"/>
          <w:lang w:eastAsia="fr-FR"/>
        </w:rPr>
        <w:t>se</w:t>
      </w:r>
      <w:r w:rsidR="00877C09" w:rsidRPr="00D54249">
        <w:rPr>
          <w:rFonts w:cstheme="minorHAnsi"/>
          <w:lang w:eastAsia="fr-FR"/>
        </w:rPr>
        <w:t xml:space="preserve"> are allocated by ITU </w:t>
      </w:r>
      <w:r w:rsidR="00877C09">
        <w:rPr>
          <w:rFonts w:cstheme="minorHAnsi"/>
          <w:lang w:eastAsia="fr-FR"/>
        </w:rPr>
        <w:t xml:space="preserve">and are </w:t>
      </w:r>
      <w:r w:rsidR="00877C09" w:rsidRPr="00196FFD">
        <w:rPr>
          <w:rFonts w:cstheme="minorHAnsi"/>
          <w:lang w:eastAsia="fr-FR"/>
        </w:rPr>
        <w:t>subject to the provisions of ITU Radio Regulation A</w:t>
      </w:r>
      <w:r w:rsidR="00877C09">
        <w:rPr>
          <w:rFonts w:cstheme="minorHAnsi"/>
          <w:lang w:eastAsia="fr-FR"/>
        </w:rPr>
        <w:t xml:space="preserve">rticle 5 of the </w:t>
      </w:r>
      <w:r w:rsidR="00877C09" w:rsidRPr="00196FFD">
        <w:rPr>
          <w:rFonts w:cstheme="minorHAnsi"/>
          <w:lang w:eastAsia="fr-FR"/>
        </w:rPr>
        <w:t>ITU Radio Regulation.</w:t>
      </w:r>
      <w:r w:rsidR="00877C09">
        <w:rPr>
          <w:rFonts w:cstheme="minorHAnsi"/>
          <w:lang w:eastAsia="fr-FR"/>
        </w:rPr>
        <w:t xml:space="preserve"> </w:t>
      </w:r>
      <w:r w:rsidR="00AC591F">
        <w:rPr>
          <w:rFonts w:cstheme="minorHAnsi"/>
          <w:lang w:eastAsia="fr-FR"/>
        </w:rPr>
        <w:t>These frequencies will henceforth be collectively referred to as “satellite Ka band” throughout the rest of this document.</w:t>
      </w:r>
    </w:p>
    <w:p w14:paraId="777EA472" w14:textId="77777777" w:rsidR="00F33D21" w:rsidRDefault="00F33D21" w:rsidP="00F33D21"/>
    <w:p w14:paraId="5077B0A9" w14:textId="77777777" w:rsidR="00486375" w:rsidRPr="00486375" w:rsidRDefault="00486375" w:rsidP="00486375">
      <w:pPr>
        <w:spacing w:after="0"/>
        <w:rPr>
          <w:lang w:val="en-GB"/>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250"/>
        <w:gridCol w:w="2070"/>
        <w:gridCol w:w="2340"/>
      </w:tblGrid>
      <w:tr w:rsidR="00486375" w:rsidRPr="00486375" w14:paraId="40484CB9" w14:textId="77777777" w:rsidTr="00634E7C">
        <w:tc>
          <w:tcPr>
            <w:tcW w:w="2430" w:type="dxa"/>
            <w:shd w:val="clear" w:color="auto" w:fill="auto"/>
          </w:tcPr>
          <w:p w14:paraId="1AC117FE" w14:textId="77777777" w:rsidR="00486375" w:rsidRPr="00486375" w:rsidRDefault="00486375" w:rsidP="00486375">
            <w:pPr>
              <w:spacing w:after="0"/>
              <w:rPr>
                <w:b/>
              </w:rPr>
            </w:pPr>
          </w:p>
        </w:tc>
        <w:tc>
          <w:tcPr>
            <w:tcW w:w="2250" w:type="dxa"/>
            <w:shd w:val="clear" w:color="auto" w:fill="auto"/>
          </w:tcPr>
          <w:p w14:paraId="7CC22185" w14:textId="77777777" w:rsidR="00486375" w:rsidRPr="00486375" w:rsidRDefault="00486375" w:rsidP="004D4921">
            <w:pPr>
              <w:spacing w:after="0"/>
              <w:jc w:val="center"/>
              <w:rPr>
                <w:b/>
              </w:rPr>
            </w:pPr>
            <w:r w:rsidRPr="00486375">
              <w:rPr>
                <w:b/>
              </w:rPr>
              <w:t>Region 1</w:t>
            </w:r>
          </w:p>
        </w:tc>
        <w:tc>
          <w:tcPr>
            <w:tcW w:w="2070" w:type="dxa"/>
            <w:shd w:val="clear" w:color="auto" w:fill="auto"/>
          </w:tcPr>
          <w:p w14:paraId="3E8CD8A3" w14:textId="77777777" w:rsidR="00486375" w:rsidRPr="00486375" w:rsidRDefault="00486375" w:rsidP="004D4921">
            <w:pPr>
              <w:spacing w:after="0"/>
              <w:jc w:val="center"/>
              <w:rPr>
                <w:b/>
              </w:rPr>
            </w:pPr>
            <w:r w:rsidRPr="00486375">
              <w:rPr>
                <w:b/>
              </w:rPr>
              <w:t>Region 2</w:t>
            </w:r>
          </w:p>
        </w:tc>
        <w:tc>
          <w:tcPr>
            <w:tcW w:w="2340" w:type="dxa"/>
            <w:shd w:val="clear" w:color="auto" w:fill="auto"/>
          </w:tcPr>
          <w:p w14:paraId="3C5FBFA7" w14:textId="77777777" w:rsidR="00486375" w:rsidRPr="00486375" w:rsidRDefault="00486375" w:rsidP="004D4921">
            <w:pPr>
              <w:spacing w:after="0"/>
              <w:jc w:val="center"/>
              <w:rPr>
                <w:b/>
              </w:rPr>
            </w:pPr>
            <w:r w:rsidRPr="00486375">
              <w:rPr>
                <w:b/>
              </w:rPr>
              <w:t>Region 3</w:t>
            </w:r>
          </w:p>
        </w:tc>
      </w:tr>
      <w:tr w:rsidR="00486375" w:rsidRPr="00486375" w14:paraId="1F5411DA" w14:textId="77777777" w:rsidTr="00634E7C">
        <w:tc>
          <w:tcPr>
            <w:tcW w:w="2430" w:type="dxa"/>
            <w:shd w:val="clear" w:color="auto" w:fill="auto"/>
          </w:tcPr>
          <w:p w14:paraId="30B433FE" w14:textId="77777777" w:rsidR="00486375" w:rsidRPr="00486375" w:rsidRDefault="00486375" w:rsidP="00486375">
            <w:pPr>
              <w:spacing w:after="0"/>
            </w:pPr>
            <w:r w:rsidRPr="00486375">
              <w:t>Downlink (space-earth)</w:t>
            </w:r>
          </w:p>
        </w:tc>
        <w:tc>
          <w:tcPr>
            <w:tcW w:w="2250" w:type="dxa"/>
            <w:shd w:val="clear" w:color="auto" w:fill="auto"/>
          </w:tcPr>
          <w:p w14:paraId="0C3B6880" w14:textId="77777777" w:rsidR="00486375" w:rsidRPr="00486375" w:rsidRDefault="00486375" w:rsidP="00486375">
            <w:pPr>
              <w:spacing w:after="0"/>
            </w:pPr>
            <w:r w:rsidRPr="00486375">
              <w:rPr>
                <w:bCs/>
              </w:rPr>
              <w:t>17.3 – 20.2 GHz</w:t>
            </w:r>
          </w:p>
        </w:tc>
        <w:tc>
          <w:tcPr>
            <w:tcW w:w="2070" w:type="dxa"/>
            <w:shd w:val="clear" w:color="auto" w:fill="auto"/>
          </w:tcPr>
          <w:p w14:paraId="5E24A614" w14:textId="77777777" w:rsidR="00486375" w:rsidRPr="00486375" w:rsidRDefault="00486375" w:rsidP="00486375">
            <w:pPr>
              <w:spacing w:after="0"/>
            </w:pPr>
            <w:r w:rsidRPr="00486375">
              <w:rPr>
                <w:bCs/>
              </w:rPr>
              <w:t>17.7 – 20.2 GHz</w:t>
            </w:r>
          </w:p>
        </w:tc>
        <w:tc>
          <w:tcPr>
            <w:tcW w:w="2340" w:type="dxa"/>
            <w:shd w:val="clear" w:color="auto" w:fill="auto"/>
          </w:tcPr>
          <w:p w14:paraId="3F043438" w14:textId="77777777" w:rsidR="00486375" w:rsidRPr="00486375" w:rsidRDefault="00486375" w:rsidP="00486375">
            <w:pPr>
              <w:spacing w:after="0"/>
            </w:pPr>
            <w:r w:rsidRPr="00486375">
              <w:rPr>
                <w:bCs/>
              </w:rPr>
              <w:t>17.7 – 20.2 GHz</w:t>
            </w:r>
          </w:p>
        </w:tc>
      </w:tr>
      <w:tr w:rsidR="00486375" w:rsidRPr="00486375" w14:paraId="197D8ECE" w14:textId="77777777" w:rsidTr="00634E7C">
        <w:tc>
          <w:tcPr>
            <w:tcW w:w="2430" w:type="dxa"/>
            <w:shd w:val="clear" w:color="auto" w:fill="auto"/>
          </w:tcPr>
          <w:p w14:paraId="773D92F0" w14:textId="77777777" w:rsidR="00486375" w:rsidRPr="00486375" w:rsidRDefault="00486375" w:rsidP="00486375">
            <w:pPr>
              <w:spacing w:after="0"/>
            </w:pPr>
            <w:r w:rsidRPr="00486375">
              <w:t>Uplink (earth-space)</w:t>
            </w:r>
          </w:p>
        </w:tc>
        <w:tc>
          <w:tcPr>
            <w:tcW w:w="2250" w:type="dxa"/>
            <w:shd w:val="clear" w:color="auto" w:fill="auto"/>
          </w:tcPr>
          <w:p w14:paraId="103AEA9D" w14:textId="77777777" w:rsidR="00486375" w:rsidRPr="00486375" w:rsidRDefault="00486375" w:rsidP="00486375">
            <w:pPr>
              <w:spacing w:after="0"/>
            </w:pPr>
            <w:r w:rsidRPr="00486375">
              <w:rPr>
                <w:bCs/>
              </w:rPr>
              <w:t>27.5 – 30.0 GHz</w:t>
            </w:r>
          </w:p>
        </w:tc>
        <w:tc>
          <w:tcPr>
            <w:tcW w:w="2070" w:type="dxa"/>
            <w:shd w:val="clear" w:color="auto" w:fill="auto"/>
          </w:tcPr>
          <w:p w14:paraId="3F475264" w14:textId="77777777" w:rsidR="00486375" w:rsidRPr="00486375" w:rsidRDefault="00486375" w:rsidP="00486375">
            <w:pPr>
              <w:spacing w:after="0"/>
            </w:pPr>
            <w:r w:rsidRPr="00486375">
              <w:rPr>
                <w:bCs/>
              </w:rPr>
              <w:t>27.0 – 30.0 GHz</w:t>
            </w:r>
          </w:p>
        </w:tc>
        <w:tc>
          <w:tcPr>
            <w:tcW w:w="2340" w:type="dxa"/>
            <w:shd w:val="clear" w:color="auto" w:fill="auto"/>
          </w:tcPr>
          <w:p w14:paraId="2E309980" w14:textId="77777777" w:rsidR="00486375" w:rsidRPr="00486375" w:rsidRDefault="00486375" w:rsidP="00486375">
            <w:pPr>
              <w:spacing w:after="0"/>
            </w:pPr>
            <w:r w:rsidRPr="00486375">
              <w:rPr>
                <w:bCs/>
              </w:rPr>
              <w:t>27.0 – 30.0 GHz</w:t>
            </w:r>
          </w:p>
        </w:tc>
      </w:tr>
    </w:tbl>
    <w:p w14:paraId="00DC3D5F" w14:textId="77777777" w:rsidR="00406EE4" w:rsidRDefault="00406EE4" w:rsidP="00E91E22">
      <w:pPr>
        <w:spacing w:after="0" w:line="100" w:lineRule="exact"/>
        <w:jc w:val="center"/>
      </w:pPr>
    </w:p>
    <w:p w14:paraId="1C2B1265" w14:textId="77777777" w:rsidR="00486375" w:rsidRPr="00E91E22" w:rsidRDefault="00486375" w:rsidP="00E91E22">
      <w:pPr>
        <w:spacing w:after="0"/>
        <w:jc w:val="center"/>
        <w:rPr>
          <w:sz w:val="20"/>
          <w:szCs w:val="20"/>
        </w:rPr>
      </w:pPr>
      <w:r w:rsidRPr="00E91E22">
        <w:rPr>
          <w:sz w:val="20"/>
          <w:szCs w:val="20"/>
        </w:rPr>
        <w:t>Table 2.1-1: “Ka band” spectrum for GEO based Satellite services</w:t>
      </w:r>
    </w:p>
    <w:p w14:paraId="3B6D7EF7" w14:textId="77777777" w:rsidR="00486375" w:rsidRPr="00486375" w:rsidRDefault="00486375" w:rsidP="00486375">
      <w:pPr>
        <w:spacing w:after="0"/>
        <w:rPr>
          <w:b/>
          <w:bCs/>
        </w:rPr>
      </w:pPr>
    </w:p>
    <w:p w14:paraId="72AC99A4" w14:textId="77777777" w:rsidR="00486375" w:rsidRPr="00486375" w:rsidRDefault="00486375" w:rsidP="00486375">
      <w:pPr>
        <w:spacing w:after="0"/>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2054"/>
        <w:gridCol w:w="2176"/>
        <w:gridCol w:w="2430"/>
      </w:tblGrid>
      <w:tr w:rsidR="00486375" w:rsidRPr="00486375" w14:paraId="18ED65C1" w14:textId="77777777" w:rsidTr="00634E7C">
        <w:tc>
          <w:tcPr>
            <w:tcW w:w="2453" w:type="dxa"/>
            <w:shd w:val="clear" w:color="auto" w:fill="auto"/>
          </w:tcPr>
          <w:p w14:paraId="628F0AE2" w14:textId="77777777" w:rsidR="00486375" w:rsidRPr="00486375" w:rsidRDefault="00486375" w:rsidP="00486375">
            <w:pPr>
              <w:spacing w:after="0"/>
              <w:rPr>
                <w:b/>
              </w:rPr>
            </w:pPr>
          </w:p>
        </w:tc>
        <w:tc>
          <w:tcPr>
            <w:tcW w:w="2054" w:type="dxa"/>
            <w:shd w:val="clear" w:color="auto" w:fill="auto"/>
          </w:tcPr>
          <w:p w14:paraId="24A165EE" w14:textId="77777777" w:rsidR="00486375" w:rsidRPr="00486375" w:rsidRDefault="00486375" w:rsidP="004D4921">
            <w:pPr>
              <w:spacing w:after="0"/>
              <w:jc w:val="center"/>
              <w:rPr>
                <w:b/>
              </w:rPr>
            </w:pPr>
            <w:r w:rsidRPr="00486375">
              <w:rPr>
                <w:b/>
              </w:rPr>
              <w:t>Region 1</w:t>
            </w:r>
          </w:p>
        </w:tc>
        <w:tc>
          <w:tcPr>
            <w:tcW w:w="2176" w:type="dxa"/>
            <w:shd w:val="clear" w:color="auto" w:fill="auto"/>
          </w:tcPr>
          <w:p w14:paraId="5ED02F87" w14:textId="77777777" w:rsidR="00486375" w:rsidRPr="00486375" w:rsidRDefault="00486375" w:rsidP="004D4921">
            <w:pPr>
              <w:spacing w:after="0"/>
              <w:jc w:val="center"/>
              <w:rPr>
                <w:b/>
              </w:rPr>
            </w:pPr>
            <w:r w:rsidRPr="00486375">
              <w:rPr>
                <w:b/>
              </w:rPr>
              <w:t>Region 2</w:t>
            </w:r>
          </w:p>
        </w:tc>
        <w:tc>
          <w:tcPr>
            <w:tcW w:w="2430" w:type="dxa"/>
            <w:shd w:val="clear" w:color="auto" w:fill="auto"/>
          </w:tcPr>
          <w:p w14:paraId="73BC469A" w14:textId="77777777" w:rsidR="00486375" w:rsidRPr="00486375" w:rsidRDefault="00486375" w:rsidP="004D4921">
            <w:pPr>
              <w:spacing w:after="0"/>
              <w:jc w:val="center"/>
              <w:rPr>
                <w:b/>
              </w:rPr>
            </w:pPr>
            <w:r w:rsidRPr="00486375">
              <w:rPr>
                <w:b/>
              </w:rPr>
              <w:t>Region 3</w:t>
            </w:r>
          </w:p>
        </w:tc>
      </w:tr>
      <w:tr w:rsidR="00486375" w:rsidRPr="00486375" w14:paraId="49404CA5" w14:textId="77777777" w:rsidTr="00634E7C">
        <w:tc>
          <w:tcPr>
            <w:tcW w:w="2453" w:type="dxa"/>
            <w:shd w:val="clear" w:color="auto" w:fill="auto"/>
          </w:tcPr>
          <w:p w14:paraId="66654E7D" w14:textId="77777777" w:rsidR="00486375" w:rsidRPr="00486375" w:rsidRDefault="00486375" w:rsidP="00486375">
            <w:pPr>
              <w:spacing w:after="0"/>
            </w:pPr>
            <w:r w:rsidRPr="00486375">
              <w:t>Downlink (space-earth)</w:t>
            </w:r>
          </w:p>
        </w:tc>
        <w:tc>
          <w:tcPr>
            <w:tcW w:w="2054" w:type="dxa"/>
            <w:shd w:val="clear" w:color="auto" w:fill="auto"/>
          </w:tcPr>
          <w:p w14:paraId="57810626" w14:textId="77777777" w:rsidR="00486375" w:rsidRPr="00486375" w:rsidRDefault="00486375" w:rsidP="00486375">
            <w:pPr>
              <w:spacing w:after="0"/>
            </w:pPr>
            <w:r w:rsidRPr="00486375">
              <w:rPr>
                <w:bCs/>
              </w:rPr>
              <w:t>17.7 – 20.2 GHz</w:t>
            </w:r>
          </w:p>
        </w:tc>
        <w:tc>
          <w:tcPr>
            <w:tcW w:w="2176" w:type="dxa"/>
            <w:shd w:val="clear" w:color="auto" w:fill="auto"/>
          </w:tcPr>
          <w:p w14:paraId="0BD5B97F" w14:textId="77777777" w:rsidR="00486375" w:rsidRPr="00486375" w:rsidRDefault="00486375" w:rsidP="00486375">
            <w:pPr>
              <w:spacing w:after="0"/>
            </w:pPr>
            <w:r w:rsidRPr="00486375">
              <w:rPr>
                <w:bCs/>
              </w:rPr>
              <w:t>17.7 – 20.2 GHz</w:t>
            </w:r>
          </w:p>
        </w:tc>
        <w:tc>
          <w:tcPr>
            <w:tcW w:w="2430" w:type="dxa"/>
            <w:shd w:val="clear" w:color="auto" w:fill="auto"/>
          </w:tcPr>
          <w:p w14:paraId="213A00E0" w14:textId="77777777" w:rsidR="00486375" w:rsidRPr="00486375" w:rsidRDefault="00486375" w:rsidP="00486375">
            <w:pPr>
              <w:spacing w:after="0"/>
            </w:pPr>
            <w:r w:rsidRPr="00486375">
              <w:rPr>
                <w:bCs/>
              </w:rPr>
              <w:t>17.7 – 20.2 GHz</w:t>
            </w:r>
          </w:p>
        </w:tc>
      </w:tr>
      <w:tr w:rsidR="00486375" w:rsidRPr="00486375" w14:paraId="51A51027" w14:textId="77777777" w:rsidTr="00634E7C">
        <w:tc>
          <w:tcPr>
            <w:tcW w:w="2453" w:type="dxa"/>
            <w:shd w:val="clear" w:color="auto" w:fill="auto"/>
          </w:tcPr>
          <w:p w14:paraId="42C9236B" w14:textId="77777777" w:rsidR="00486375" w:rsidRPr="00486375" w:rsidRDefault="00486375" w:rsidP="00486375">
            <w:pPr>
              <w:spacing w:after="0"/>
            </w:pPr>
            <w:r w:rsidRPr="00486375">
              <w:t>Uplink (earth-space)</w:t>
            </w:r>
          </w:p>
        </w:tc>
        <w:tc>
          <w:tcPr>
            <w:tcW w:w="2054" w:type="dxa"/>
            <w:shd w:val="clear" w:color="auto" w:fill="auto"/>
          </w:tcPr>
          <w:p w14:paraId="396092AB" w14:textId="77777777" w:rsidR="00486375" w:rsidRPr="00486375" w:rsidRDefault="00486375" w:rsidP="00486375">
            <w:pPr>
              <w:spacing w:after="0"/>
              <w:rPr>
                <w:bCs/>
              </w:rPr>
            </w:pPr>
            <w:r w:rsidRPr="00486375">
              <w:rPr>
                <w:bCs/>
              </w:rPr>
              <w:t xml:space="preserve">27.5 – 29.1 GHz </w:t>
            </w:r>
          </w:p>
          <w:p w14:paraId="48E778F2" w14:textId="77777777" w:rsidR="00486375" w:rsidRPr="00486375" w:rsidRDefault="00486375" w:rsidP="00486375">
            <w:pPr>
              <w:spacing w:after="0"/>
            </w:pPr>
            <w:r w:rsidRPr="00486375">
              <w:rPr>
                <w:bCs/>
              </w:rPr>
              <w:t>&amp; 29.5 – 30.0 GHz</w:t>
            </w:r>
          </w:p>
        </w:tc>
        <w:tc>
          <w:tcPr>
            <w:tcW w:w="2176" w:type="dxa"/>
            <w:shd w:val="clear" w:color="auto" w:fill="auto"/>
          </w:tcPr>
          <w:p w14:paraId="7317B90C" w14:textId="77777777" w:rsidR="00486375" w:rsidRPr="00486375" w:rsidRDefault="00486375" w:rsidP="00486375">
            <w:pPr>
              <w:spacing w:after="0"/>
              <w:rPr>
                <w:bCs/>
              </w:rPr>
            </w:pPr>
            <w:r w:rsidRPr="00486375">
              <w:rPr>
                <w:bCs/>
              </w:rPr>
              <w:t xml:space="preserve">27.0 – 29.1 GHz </w:t>
            </w:r>
          </w:p>
          <w:p w14:paraId="7022F918" w14:textId="77777777" w:rsidR="00486375" w:rsidRPr="00486375" w:rsidRDefault="00486375" w:rsidP="00486375">
            <w:pPr>
              <w:spacing w:after="0"/>
            </w:pPr>
            <w:r w:rsidRPr="00486375">
              <w:rPr>
                <w:bCs/>
              </w:rPr>
              <w:t>&amp; 29.5 – 30.0 GHz</w:t>
            </w:r>
          </w:p>
        </w:tc>
        <w:tc>
          <w:tcPr>
            <w:tcW w:w="2430" w:type="dxa"/>
            <w:shd w:val="clear" w:color="auto" w:fill="auto"/>
          </w:tcPr>
          <w:p w14:paraId="08BAF1C0" w14:textId="77777777" w:rsidR="00486375" w:rsidRPr="00486375" w:rsidRDefault="00486375" w:rsidP="00486375">
            <w:pPr>
              <w:spacing w:after="0"/>
              <w:rPr>
                <w:bCs/>
              </w:rPr>
            </w:pPr>
            <w:r w:rsidRPr="00486375">
              <w:rPr>
                <w:bCs/>
              </w:rPr>
              <w:t xml:space="preserve">27.0 – 29.1 GHz </w:t>
            </w:r>
          </w:p>
          <w:p w14:paraId="06D9191D" w14:textId="77777777" w:rsidR="00486375" w:rsidRPr="00486375" w:rsidRDefault="00486375" w:rsidP="00486375">
            <w:pPr>
              <w:spacing w:after="0"/>
            </w:pPr>
            <w:r w:rsidRPr="00486375">
              <w:rPr>
                <w:bCs/>
              </w:rPr>
              <w:t>&amp; 29.5 – 30.0 GHz</w:t>
            </w:r>
          </w:p>
        </w:tc>
      </w:tr>
    </w:tbl>
    <w:p w14:paraId="44697EDC" w14:textId="77777777" w:rsidR="00406EE4" w:rsidRDefault="00406EE4" w:rsidP="00E91E22">
      <w:pPr>
        <w:spacing w:after="0" w:line="100" w:lineRule="exact"/>
        <w:jc w:val="center"/>
      </w:pPr>
    </w:p>
    <w:p w14:paraId="1E349DD5" w14:textId="77777777" w:rsidR="00486375" w:rsidRPr="00E91E22" w:rsidRDefault="00486375" w:rsidP="00E91E22">
      <w:pPr>
        <w:spacing w:after="0"/>
        <w:jc w:val="center"/>
        <w:rPr>
          <w:sz w:val="20"/>
          <w:szCs w:val="20"/>
        </w:rPr>
      </w:pPr>
      <w:r w:rsidRPr="00E91E22">
        <w:rPr>
          <w:sz w:val="20"/>
          <w:szCs w:val="20"/>
        </w:rPr>
        <w:t>Table 2.1-2: “Ka band” spectrum for NGSO Satellite services</w:t>
      </w:r>
    </w:p>
    <w:p w14:paraId="6397BB09" w14:textId="77777777" w:rsidR="00486375" w:rsidRDefault="00486375" w:rsidP="00486375">
      <w:pPr>
        <w:spacing w:after="0"/>
      </w:pPr>
    </w:p>
    <w:p w14:paraId="4EEF2D1F" w14:textId="0F8DC378" w:rsidR="00CD40F1" w:rsidRDefault="007706CC" w:rsidP="00E9252C">
      <w:pPr>
        <w:spacing w:after="0"/>
        <w:jc w:val="both"/>
      </w:pPr>
      <w:r w:rsidRPr="007706CC">
        <w:rPr>
          <w:b/>
        </w:rPr>
        <w:t>Observation 1</w:t>
      </w:r>
      <w:r>
        <w:rPr>
          <w:b/>
        </w:rPr>
        <w:t xml:space="preserve">: </w:t>
      </w:r>
      <w:r w:rsidR="00AC591F">
        <w:t xml:space="preserve">For </w:t>
      </w:r>
      <w:r w:rsidR="00643C89">
        <w:t>many</w:t>
      </w:r>
      <w:r w:rsidR="00AC591F">
        <w:t xml:space="preserve"> </w:t>
      </w:r>
      <w:r w:rsidR="00CD40F1">
        <w:t>years</w:t>
      </w:r>
      <w:r w:rsidR="00AC591F">
        <w:t>, the entirety of the “satellite Ka band”</w:t>
      </w:r>
      <w:r w:rsidR="00CD40F1">
        <w:t xml:space="preserve"> frequencies</w:t>
      </w:r>
      <w:r w:rsidR="00072FBD">
        <w:t xml:space="preserve"> in both FSS and MSS denominated spectrum</w:t>
      </w:r>
      <w:r w:rsidR="00CD40F1">
        <w:t xml:space="preserve"> have been widely used to provide both fixed and mobile connectivity services to land-, sea- and air-based platforms (ESIMs)</w:t>
      </w:r>
      <w:r w:rsidR="00072FBD">
        <w:t>, according to ITU-R and regional regulations</w:t>
      </w:r>
      <w:r w:rsidR="00CD40F1">
        <w:t xml:space="preserve">. </w:t>
      </w:r>
    </w:p>
    <w:p w14:paraId="48A2EAD5" w14:textId="77777777" w:rsidR="00E86BE3" w:rsidRDefault="00CD40F1" w:rsidP="00E9252C">
      <w:pPr>
        <w:spacing w:after="0"/>
        <w:jc w:val="both"/>
      </w:pPr>
      <w:r>
        <w:t xml:space="preserve">The provision of mobility services from GSO and NGSO is allowed </w:t>
      </w:r>
      <w:r w:rsidR="00EC0934">
        <w:t xml:space="preserve">in FSS as well as MSS denominated spectrum </w:t>
      </w:r>
      <w:r>
        <w:t>and regulated by ITU-R regulations and recently reinforced by WRC Resolutions 156</w:t>
      </w:r>
      <w:r w:rsidR="00072FBD">
        <w:t xml:space="preserve"> [10]</w:t>
      </w:r>
      <w:r>
        <w:t>, 169</w:t>
      </w:r>
      <w:r w:rsidR="00072FBD">
        <w:t xml:space="preserve"> [11]</w:t>
      </w:r>
      <w:r>
        <w:t xml:space="preserve"> and 173</w:t>
      </w:r>
      <w:r w:rsidR="00072FBD">
        <w:t xml:space="preserve"> [12]</w:t>
      </w:r>
      <w:r>
        <w:t xml:space="preserve">. </w:t>
      </w:r>
    </w:p>
    <w:p w14:paraId="2D17CECA" w14:textId="77777777" w:rsidR="00C72976" w:rsidRDefault="00C72976" w:rsidP="00E9252C">
      <w:pPr>
        <w:spacing w:after="0"/>
        <w:jc w:val="both"/>
      </w:pPr>
    </w:p>
    <w:p w14:paraId="0564D3F5" w14:textId="77777777" w:rsidR="00417FE0" w:rsidRDefault="007706CC" w:rsidP="00E9252C">
      <w:pPr>
        <w:spacing w:after="0"/>
        <w:jc w:val="both"/>
      </w:pPr>
      <w:r>
        <w:rPr>
          <w:b/>
        </w:rPr>
        <w:t>Proposal</w:t>
      </w:r>
      <w:r w:rsidR="00443D02">
        <w:rPr>
          <w:b/>
        </w:rPr>
        <w:t xml:space="preserve"> 1</w:t>
      </w:r>
      <w:r w:rsidR="00417FE0" w:rsidRPr="007706CC">
        <w:rPr>
          <w:b/>
        </w:rPr>
        <w:t>:</w:t>
      </w:r>
      <w:r w:rsidR="00417FE0">
        <w:t xml:space="preserve"> </w:t>
      </w:r>
      <w:r w:rsidR="00443D02">
        <w:t xml:space="preserve">For </w:t>
      </w:r>
      <w:r w:rsidR="000C3C2C">
        <w:t xml:space="preserve">NTN </w:t>
      </w:r>
      <w:r w:rsidR="00443D02">
        <w:t xml:space="preserve">coexistence study purpose, </w:t>
      </w:r>
      <w:r>
        <w:t>RAN should consider a</w:t>
      </w:r>
      <w:r w:rsidR="00E54F4E">
        <w:t xml:space="preserve">ll the </w:t>
      </w:r>
      <w:r w:rsidR="00417FE0">
        <w:t xml:space="preserve">bands </w:t>
      </w:r>
      <w:r w:rsidR="00CD40F1">
        <w:t>collectively referred to as “satellite Ka band”</w:t>
      </w:r>
      <w:r w:rsidR="00443D02">
        <w:t>, in both “FSS” and “MSS” denomination, since the provision of mobility services from GSO and NGSO is allowed in FSS as well as MSS denominated spectrum and regulated by ITU-R regulations and recently reinforced by WRC Resolutions 156 [10], 169 [11] and 173 [12]</w:t>
      </w:r>
      <w:r w:rsidR="00CD40F1">
        <w:t>.</w:t>
      </w:r>
    </w:p>
    <w:p w14:paraId="082416CE" w14:textId="77777777" w:rsidR="00417FE0" w:rsidRDefault="00417FE0" w:rsidP="00E9252C">
      <w:pPr>
        <w:spacing w:after="0"/>
        <w:jc w:val="both"/>
      </w:pPr>
    </w:p>
    <w:p w14:paraId="6B8B842C" w14:textId="77777777" w:rsidR="00E86BE3" w:rsidRPr="009B40F7" w:rsidRDefault="00E86BE3" w:rsidP="00E9252C">
      <w:pPr>
        <w:spacing w:after="0"/>
        <w:jc w:val="both"/>
      </w:pPr>
      <w:r>
        <w:t>Based on the current</w:t>
      </w:r>
      <w:r w:rsidR="00B93D36">
        <w:t xml:space="preserve"> 3GPP definition of</w:t>
      </w:r>
      <w:r>
        <w:t xml:space="preserve"> FR1 and FR2 range, the UL portion of Ka band is well within the FR2 range</w:t>
      </w:r>
      <w:r w:rsidR="00B93D36">
        <w:t>,</w:t>
      </w:r>
      <w:r>
        <w:t xml:space="preserve"> </w:t>
      </w:r>
      <w:r w:rsidR="00B93D36">
        <w:t>whereas</w:t>
      </w:r>
      <w:r>
        <w:t xml:space="preserve"> the DL portion falls outside of the </w:t>
      </w:r>
      <w:r w:rsidRPr="009B40F7">
        <w:t>FR1 and FR2 range</w:t>
      </w:r>
      <w:r w:rsidR="00B93D36">
        <w:t>s</w:t>
      </w:r>
      <w:r>
        <w:t>, as shown in the diagram below.</w:t>
      </w:r>
    </w:p>
    <w:p w14:paraId="625A73AF" w14:textId="77777777" w:rsidR="00E86BE3" w:rsidRDefault="00E86BE3" w:rsidP="00E86BE3">
      <w:pPr>
        <w:spacing w:after="0"/>
      </w:pPr>
    </w:p>
    <w:p w14:paraId="4314E966" w14:textId="77777777" w:rsidR="00E86BE3" w:rsidRDefault="00E86BE3" w:rsidP="00E86BE3">
      <w:pPr>
        <w:ind w:left="360"/>
      </w:pPr>
      <w:r>
        <w:rPr>
          <w:noProof/>
          <w:lang w:val="fr-FR" w:eastAsia="fr-FR"/>
        </w:rPr>
        <w:drawing>
          <wp:inline distT="0" distB="0" distL="0" distR="0" wp14:anchorId="4E0AA849" wp14:editId="09E6DB0E">
            <wp:extent cx="5552589" cy="997527"/>
            <wp:effectExtent l="0" t="0" r="1270" b="127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52589" cy="997527"/>
                    </a:xfrm>
                    <a:prstGeom prst="rect">
                      <a:avLst/>
                    </a:prstGeom>
                  </pic:spPr>
                </pic:pic>
              </a:graphicData>
            </a:graphic>
          </wp:inline>
        </w:drawing>
      </w:r>
    </w:p>
    <w:p w14:paraId="144ACC51" w14:textId="4C908672" w:rsidR="00E84FD6" w:rsidRPr="00E9252C" w:rsidRDefault="00E84FD6" w:rsidP="00E9252C">
      <w:pPr>
        <w:jc w:val="center"/>
        <w:rPr>
          <w:b/>
          <w:bCs/>
        </w:rPr>
      </w:pPr>
      <w:r w:rsidRPr="00E9252C">
        <w:rPr>
          <w:b/>
          <w:bCs/>
        </w:rPr>
        <w:t xml:space="preserve">Figure 1. </w:t>
      </w:r>
      <w:r w:rsidR="00E47E70">
        <w:rPr>
          <w:b/>
          <w:bCs/>
        </w:rPr>
        <w:t>Illustration</w:t>
      </w:r>
      <w:r w:rsidR="00E47E70" w:rsidRPr="00E9252C">
        <w:rPr>
          <w:b/>
          <w:bCs/>
        </w:rPr>
        <w:t xml:space="preserve"> </w:t>
      </w:r>
      <w:r w:rsidRPr="00E9252C">
        <w:rPr>
          <w:b/>
          <w:bCs/>
        </w:rPr>
        <w:t>of NTN Ka frequency band</w:t>
      </w:r>
    </w:p>
    <w:p w14:paraId="148D063C" w14:textId="77777777" w:rsidR="00E84FD6" w:rsidRDefault="00E84FD6" w:rsidP="00E9252C">
      <w:pPr>
        <w:spacing w:after="0"/>
        <w:jc w:val="both"/>
      </w:pPr>
    </w:p>
    <w:p w14:paraId="0134F83A" w14:textId="77777777" w:rsidR="00E86BE3" w:rsidRDefault="00B93D36" w:rsidP="00E9252C">
      <w:pPr>
        <w:spacing w:after="0"/>
        <w:jc w:val="both"/>
      </w:pPr>
      <w:r>
        <w:t>It should however be noted that the current 3GPP FR1 and FR2 range definitions are exclusively based on the frequency bands currently defined in 3GPP for TN services.</w:t>
      </w:r>
    </w:p>
    <w:p w14:paraId="68238709" w14:textId="77777777" w:rsidR="00E86BE3" w:rsidRDefault="00E86BE3" w:rsidP="00E9252C">
      <w:pPr>
        <w:spacing w:after="0"/>
        <w:jc w:val="both"/>
      </w:pPr>
    </w:p>
    <w:p w14:paraId="3600466D" w14:textId="77777777" w:rsidR="00C72976" w:rsidRDefault="00C72976" w:rsidP="00E9252C">
      <w:pPr>
        <w:spacing w:after="0"/>
        <w:jc w:val="both"/>
      </w:pPr>
      <w:r w:rsidRPr="007706CC">
        <w:rPr>
          <w:b/>
        </w:rPr>
        <w:t>Observation</w:t>
      </w:r>
      <w:r w:rsidR="00417FE0" w:rsidRPr="007706CC">
        <w:rPr>
          <w:b/>
        </w:rPr>
        <w:t xml:space="preserve"> 2</w:t>
      </w:r>
      <w:r w:rsidRPr="007706CC">
        <w:rPr>
          <w:b/>
        </w:rPr>
        <w:t>:</w:t>
      </w:r>
      <w:r>
        <w:t xml:space="preserve"> For</w:t>
      </w:r>
      <w:r w:rsidR="00B93D36">
        <w:t xml:space="preserve"> satellite</w:t>
      </w:r>
      <w:r>
        <w:t xml:space="preserve"> Ka band</w:t>
      </w:r>
      <w:r w:rsidR="00B93D36">
        <w:t xml:space="preserve"> with FDD mode</w:t>
      </w:r>
      <w:r>
        <w:t>, the uplink falls</w:t>
      </w:r>
      <w:r w:rsidR="004755C9">
        <w:t xml:space="preserve"> entirely</w:t>
      </w:r>
      <w:r>
        <w:t xml:space="preserve"> in FR2 while the </w:t>
      </w:r>
      <w:r w:rsidR="004F2EB6">
        <w:t>downlink</w:t>
      </w:r>
      <w:r>
        <w:t xml:space="preserve"> falls in between FR1 &amp; FR2</w:t>
      </w:r>
      <w:r w:rsidR="008049DC">
        <w:t>.</w:t>
      </w:r>
    </w:p>
    <w:p w14:paraId="439AA6F4" w14:textId="77777777" w:rsidR="00417FE0" w:rsidRDefault="00417FE0" w:rsidP="00E9252C">
      <w:pPr>
        <w:spacing w:after="0"/>
        <w:jc w:val="both"/>
      </w:pPr>
    </w:p>
    <w:p w14:paraId="1F03B2F0" w14:textId="77777777" w:rsidR="00D42D2E" w:rsidRDefault="00417FE0" w:rsidP="00E9252C">
      <w:pPr>
        <w:spacing w:after="0"/>
        <w:jc w:val="both"/>
      </w:pPr>
      <w:r w:rsidRPr="007706CC">
        <w:rPr>
          <w:b/>
        </w:rPr>
        <w:t>Observation 3:</w:t>
      </w:r>
      <w:r>
        <w:t xml:space="preserve"> </w:t>
      </w:r>
      <w:r w:rsidR="004A0E08" w:rsidRPr="004A0E08">
        <w:t xml:space="preserve">The FR1 and FR2 boundaries as currently defined in 3GPP are based on frequency band allocations that are currently valid for Terrestrial Networks. </w:t>
      </w:r>
    </w:p>
    <w:p w14:paraId="6BF461EC" w14:textId="77777777" w:rsidR="00E86BE3" w:rsidRDefault="00E86BE3" w:rsidP="00E9252C">
      <w:pPr>
        <w:spacing w:after="0"/>
        <w:jc w:val="both"/>
      </w:pPr>
    </w:p>
    <w:p w14:paraId="195D988B" w14:textId="77777777" w:rsidR="004A0E08" w:rsidRDefault="00D42D2E" w:rsidP="00E9252C">
      <w:pPr>
        <w:spacing w:after="0"/>
        <w:jc w:val="both"/>
      </w:pPr>
      <w:r w:rsidRPr="007706CC">
        <w:rPr>
          <w:b/>
        </w:rPr>
        <w:t xml:space="preserve">Proposal </w:t>
      </w:r>
      <w:r w:rsidR="00F36ED1">
        <w:rPr>
          <w:b/>
        </w:rPr>
        <w:t>2</w:t>
      </w:r>
      <w:r w:rsidRPr="007706CC">
        <w:rPr>
          <w:b/>
        </w:rPr>
        <w:t>:</w:t>
      </w:r>
      <w:r>
        <w:t xml:space="preserve"> </w:t>
      </w:r>
      <w:r w:rsidR="004A0E08" w:rsidRPr="004A0E08">
        <w:t xml:space="preserve">When </w:t>
      </w:r>
      <w:r>
        <w:t>treating</w:t>
      </w:r>
      <w:r w:rsidR="004A0E08" w:rsidRPr="004A0E08">
        <w:t xml:space="preserve"> Non-Terrestrial Networks, th</w:t>
      </w:r>
      <w:r>
        <w:t>e</w:t>
      </w:r>
      <w:r w:rsidR="004A0E08" w:rsidRPr="004A0E08">
        <w:t xml:space="preserve"> </w:t>
      </w:r>
      <w:r>
        <w:t xml:space="preserve">FR1/FR2 </w:t>
      </w:r>
      <w:r w:rsidR="004A0E08" w:rsidRPr="004A0E08">
        <w:t xml:space="preserve">boundaries </w:t>
      </w:r>
      <w:r>
        <w:t xml:space="preserve">may </w:t>
      </w:r>
      <w:r w:rsidR="004A0E08" w:rsidRPr="004A0E08">
        <w:t xml:space="preserve">need to be </w:t>
      </w:r>
      <w:r>
        <w:t>adapted in line with</w:t>
      </w:r>
      <w:r w:rsidR="004A0E08" w:rsidRPr="004A0E08">
        <w:t xml:space="preserve"> the frequency band allocations that are valid for satellite communications.</w:t>
      </w:r>
    </w:p>
    <w:p w14:paraId="36B1BF13" w14:textId="77777777" w:rsidR="004A0E08" w:rsidRDefault="004A0E08" w:rsidP="00E9252C">
      <w:pPr>
        <w:spacing w:after="0"/>
        <w:jc w:val="both"/>
      </w:pPr>
    </w:p>
    <w:p w14:paraId="5BFC06AE" w14:textId="77777777" w:rsidR="00E86BE3" w:rsidRDefault="00416F0B" w:rsidP="00E9252C">
      <w:pPr>
        <w:spacing w:after="0"/>
        <w:jc w:val="both"/>
      </w:pPr>
      <w:r>
        <w:t xml:space="preserve">Prior studies have been conducted within 3GPP on frequency bands outside of the FR1 and FR2 defined ranges, such as in the 7-24 GHz range [7].  For analysis purpose, the study further splits the 7-24 GHz range </w:t>
      </w:r>
      <w:r w:rsidR="00EC0934">
        <w:t xml:space="preserve">provisionally </w:t>
      </w:r>
      <w:r>
        <w:t xml:space="preserve">into 3 sub-ranges.  Satellite Ka band DL would fall entirely in the “sub-range 3”, </w:t>
      </w:r>
      <w:r w:rsidR="00AC591F">
        <w:t>which encompasses the 16-24 GH</w:t>
      </w:r>
      <w:r>
        <w:t xml:space="preserve">z </w:t>
      </w:r>
      <w:r w:rsidR="00AC591F">
        <w:t>subset. The study report observes</w:t>
      </w:r>
      <w:r>
        <w:t xml:space="preserve"> that “sub-range 3” exhibits RF characteristics closer to FR2, and </w:t>
      </w:r>
      <w:r w:rsidR="00AC591F">
        <w:t>that UE transceiver architectures tend to benefit more from the RF+IF architecture. Current state-of-the-art VSAT and ESIM UEs used in the satellite Ka band range largely implement a similar architecture.</w:t>
      </w:r>
    </w:p>
    <w:p w14:paraId="6E9925B0" w14:textId="77777777" w:rsidR="00416F0B" w:rsidRDefault="00416F0B" w:rsidP="00E9252C">
      <w:pPr>
        <w:spacing w:after="0"/>
        <w:jc w:val="both"/>
      </w:pPr>
    </w:p>
    <w:p w14:paraId="0447C109" w14:textId="77777777" w:rsidR="001239D5" w:rsidRPr="007706CC" w:rsidRDefault="001239D5" w:rsidP="00E9252C">
      <w:pPr>
        <w:spacing w:after="0"/>
        <w:jc w:val="both"/>
        <w:rPr>
          <w:b/>
        </w:rPr>
      </w:pPr>
      <w:r>
        <w:rPr>
          <w:b/>
        </w:rPr>
        <w:t>Observation 4</w:t>
      </w:r>
      <w:r w:rsidR="00196AC9">
        <w:rPr>
          <w:b/>
        </w:rPr>
        <w:t>: “</w:t>
      </w:r>
      <w:r w:rsidRPr="000D7382">
        <w:t>3GPP TR 38.820: NR; 7-24 GHz frequency range</w:t>
      </w:r>
      <w:r>
        <w:t xml:space="preserve"> V16.0.0</w:t>
      </w:r>
      <w:r w:rsidRPr="000D7382">
        <w:t>”</w:t>
      </w:r>
      <w:r w:rsidR="00AC591F">
        <w:t xml:space="preserve"> observes that frequencies above 16 GHz exhibit characteristics similar to FR2 range frequencies.</w:t>
      </w:r>
    </w:p>
    <w:p w14:paraId="4FC51F8E" w14:textId="77777777" w:rsidR="00E86BE3" w:rsidRDefault="00E86BE3" w:rsidP="00E9252C">
      <w:pPr>
        <w:spacing w:after="0"/>
        <w:jc w:val="both"/>
      </w:pPr>
    </w:p>
    <w:p w14:paraId="585867A5" w14:textId="77777777" w:rsidR="00E86BE3" w:rsidRDefault="00E86BE3" w:rsidP="00E9252C">
      <w:pPr>
        <w:jc w:val="both"/>
      </w:pPr>
      <w:r w:rsidRPr="003524E2">
        <w:rPr>
          <w:b/>
          <w:bCs/>
        </w:rPr>
        <w:t xml:space="preserve">Proposal </w:t>
      </w:r>
      <w:r w:rsidR="00F36ED1">
        <w:rPr>
          <w:b/>
          <w:bCs/>
        </w:rPr>
        <w:t>3</w:t>
      </w:r>
      <w:r>
        <w:t xml:space="preserve">: </w:t>
      </w:r>
      <w:r w:rsidR="00AC591F">
        <w:t>In line with early analysis from</w:t>
      </w:r>
      <w:r>
        <w:t xml:space="preserve"> </w:t>
      </w:r>
      <w:r w:rsidRPr="000D7382">
        <w:t>“3GPP TR 38.820: NR; 7-24 GHz frequency range”</w:t>
      </w:r>
      <w:r>
        <w:t>, The DL portion of Ka f</w:t>
      </w:r>
      <w:r w:rsidRPr="000D7382">
        <w:t xml:space="preserve">requency bands allocated to satellite services can be </w:t>
      </w:r>
      <w:r>
        <w:t xml:space="preserve">treated </w:t>
      </w:r>
      <w:r w:rsidRPr="000D7382">
        <w:t>as FR2 band</w:t>
      </w:r>
      <w:r w:rsidR="00AC591F">
        <w:t>,</w:t>
      </w:r>
      <w:r w:rsidRPr="000D7382">
        <w:t xml:space="preserve"> </w:t>
      </w:r>
      <w:r w:rsidR="004755C9">
        <w:t>in the scope of</w:t>
      </w:r>
      <w:r w:rsidRPr="000D7382">
        <w:t xml:space="preserve"> RAN specification work</w:t>
      </w:r>
      <w:r w:rsidR="00AC591F">
        <w:t xml:space="preserve">, particularly </w:t>
      </w:r>
      <w:r w:rsidR="004755C9">
        <w:t>for the identification of</w:t>
      </w:r>
      <w:r w:rsidR="00AC591F">
        <w:t xml:space="preserve"> RF requirements</w:t>
      </w:r>
      <w:r>
        <w:t>.</w:t>
      </w:r>
    </w:p>
    <w:p w14:paraId="528D15B5" w14:textId="77777777" w:rsidR="0095779D" w:rsidRDefault="00E54F4E" w:rsidP="00E9252C">
      <w:pPr>
        <w:spacing w:after="0"/>
        <w:jc w:val="both"/>
      </w:pPr>
      <w:r>
        <w:rPr>
          <w:b/>
        </w:rPr>
        <w:t>Pr</w:t>
      </w:r>
      <w:r w:rsidR="00301A73">
        <w:rPr>
          <w:b/>
        </w:rPr>
        <w:t xml:space="preserve">oposal </w:t>
      </w:r>
      <w:r w:rsidR="00F36ED1">
        <w:rPr>
          <w:b/>
        </w:rPr>
        <w:t>4</w:t>
      </w:r>
      <w:r>
        <w:rPr>
          <w:b/>
        </w:rPr>
        <w:t xml:space="preserve">: </w:t>
      </w:r>
      <w:r>
        <w:t>RAN to consider the entirety of the Ka band frequency range allocated to satellite services as FR2 when defining an exemplary FR2 band for NR-NTN solutions.</w:t>
      </w:r>
    </w:p>
    <w:p w14:paraId="0986A8C2" w14:textId="77777777" w:rsidR="004F2EB6" w:rsidRDefault="004F2EB6" w:rsidP="00E9252C">
      <w:pPr>
        <w:spacing w:after="0"/>
        <w:jc w:val="both"/>
      </w:pPr>
    </w:p>
    <w:p w14:paraId="0E04D274" w14:textId="77777777" w:rsidR="00DD03E7" w:rsidRDefault="00301A73" w:rsidP="00E9252C">
      <w:pPr>
        <w:jc w:val="both"/>
        <w:rPr>
          <w:rFonts w:cstheme="minorHAnsi"/>
          <w:bCs/>
        </w:rPr>
      </w:pPr>
      <w:r w:rsidRPr="007706CC">
        <w:rPr>
          <w:rFonts w:cstheme="minorHAnsi"/>
          <w:b/>
          <w:bCs/>
        </w:rPr>
        <w:t>NOTE:</w:t>
      </w:r>
      <w:r>
        <w:rPr>
          <w:rFonts w:cstheme="minorHAnsi"/>
          <w:bCs/>
        </w:rPr>
        <w:t xml:space="preserve"> </w:t>
      </w:r>
      <w:r w:rsidR="00DD03E7">
        <w:rPr>
          <w:rFonts w:cstheme="minorHAnsi"/>
          <w:bCs/>
        </w:rPr>
        <w:t>By addressing Ka band as exemplary band, other mil</w:t>
      </w:r>
      <w:r w:rsidR="004755C9">
        <w:rPr>
          <w:rFonts w:cstheme="minorHAnsi"/>
          <w:bCs/>
        </w:rPr>
        <w:t>l</w:t>
      </w:r>
      <w:r w:rsidR="00DD03E7">
        <w:rPr>
          <w:rFonts w:cstheme="minorHAnsi"/>
          <w:bCs/>
        </w:rPr>
        <w:t>imeter bands (e.g. Ku band</w:t>
      </w:r>
      <w:r w:rsidR="004755C9">
        <w:rPr>
          <w:rFonts w:cstheme="minorHAnsi"/>
          <w:bCs/>
        </w:rPr>
        <w:t>, Q/V band</w:t>
      </w:r>
      <w:r w:rsidR="00DD03E7">
        <w:rPr>
          <w:rFonts w:cstheme="minorHAnsi"/>
          <w:bCs/>
        </w:rPr>
        <w:t>) allocated to satellite services could leverage the RAN work</w:t>
      </w:r>
      <w:r w:rsidR="004755C9">
        <w:rPr>
          <w:rFonts w:cstheme="minorHAnsi"/>
          <w:bCs/>
        </w:rPr>
        <w:t xml:space="preserve"> with minimal incremental impact</w:t>
      </w:r>
      <w:r w:rsidR="00CF4147">
        <w:rPr>
          <w:rFonts w:cstheme="minorHAnsi"/>
          <w:bCs/>
        </w:rPr>
        <w:t>.</w:t>
      </w:r>
    </w:p>
    <w:p w14:paraId="293436E5" w14:textId="0E91FEA3" w:rsidR="00C72976" w:rsidRPr="00486375" w:rsidRDefault="00850E0E" w:rsidP="00830357">
      <w:pPr>
        <w:jc w:val="both"/>
      </w:pPr>
      <w:r>
        <w:rPr>
          <w:b/>
          <w:bCs/>
        </w:rPr>
        <w:t xml:space="preserve">Proposal 13: </w:t>
      </w:r>
      <w:r w:rsidRPr="00AB0C82">
        <w:rPr>
          <w:bCs/>
        </w:rPr>
        <w:t>Other bands allocated to satellite communications above 7 GHz (i.e. Ku band, Q/V band) should benefit from similar treatment and considered as FR2</w:t>
      </w:r>
      <w:r>
        <w:rPr>
          <w:bCs/>
        </w:rPr>
        <w:t>, similar to</w:t>
      </w:r>
      <w:r w:rsidRPr="00AB0C82">
        <w:rPr>
          <w:bCs/>
        </w:rPr>
        <w:t xml:space="preserve"> Ka band</w:t>
      </w:r>
      <w:r>
        <w:rPr>
          <w:bCs/>
        </w:rPr>
        <w:t>,</w:t>
      </w:r>
      <w:r w:rsidRPr="00AB0C82">
        <w:rPr>
          <w:bCs/>
        </w:rPr>
        <w:t xml:space="preserve"> when proposed for dedicated Work Item.</w:t>
      </w:r>
    </w:p>
    <w:p w14:paraId="532AAD88" w14:textId="77777777" w:rsidR="008F1199" w:rsidRDefault="00C23F48" w:rsidP="00E91E22">
      <w:pPr>
        <w:pStyle w:val="Heading2"/>
      </w:pPr>
      <w:r>
        <w:t xml:space="preserve">2.2 </w:t>
      </w:r>
      <w:r w:rsidR="00953637">
        <w:t xml:space="preserve">Rational </w:t>
      </w:r>
      <w:r>
        <w:t xml:space="preserve">Ka-Band </w:t>
      </w:r>
      <w:r w:rsidR="00467BA3">
        <w:t>fixed and mobile</w:t>
      </w:r>
      <w:r w:rsidR="00884C37">
        <w:t xml:space="preserve"> </w:t>
      </w:r>
      <w:r w:rsidR="00A774B2">
        <w:t>Market</w:t>
      </w:r>
    </w:p>
    <w:p w14:paraId="2750190B" w14:textId="5F829190" w:rsidR="00CA41AA" w:rsidRDefault="00CA41AA" w:rsidP="00E9252C">
      <w:pPr>
        <w:spacing w:after="0"/>
        <w:jc w:val="both"/>
        <w:rPr>
          <w:rFonts w:cstheme="minorHAnsi"/>
          <w:lang w:eastAsia="fr-FR"/>
        </w:rPr>
      </w:pPr>
      <w:r>
        <w:t>Ka</w:t>
      </w:r>
      <w:r w:rsidR="00637627">
        <w:t xml:space="preserve"> b</w:t>
      </w:r>
      <w:r>
        <w:t xml:space="preserve">and </w:t>
      </w:r>
      <w:r w:rsidR="00637627">
        <w:t>has been used for many years to provide both fixed and mobile broadband services</w:t>
      </w:r>
      <w:r w:rsidR="00EF350E">
        <w:t xml:space="preserve"> to VSAT type UEs</w:t>
      </w:r>
      <w:r w:rsidR="00A27A0C">
        <w:t xml:space="preserve">. </w:t>
      </w:r>
      <w:r w:rsidR="00EF350E">
        <w:t xml:space="preserve"> </w:t>
      </w:r>
      <w:r w:rsidR="00A27A0C">
        <w:t>As highlighted in TR 38.821 [</w:t>
      </w:r>
      <w:r w:rsidR="00063381">
        <w:t>4</w:t>
      </w:r>
      <w:r w:rsidR="00A27A0C">
        <w:t xml:space="preserve">] in Table 6.1.1.1-3, </w:t>
      </w:r>
      <w:r w:rsidR="00AB5520">
        <w:t xml:space="preserve">VSAT </w:t>
      </w:r>
      <w:r w:rsidR="00EF541D">
        <w:t>refer</w:t>
      </w:r>
      <w:r w:rsidR="00AB5520">
        <w:t>s</w:t>
      </w:r>
      <w:r w:rsidR="00EF541D">
        <w:t xml:space="preserve"> to “fixed or mounted” devices </w:t>
      </w:r>
      <w:r w:rsidR="00AB5520" w:rsidRPr="00AB5520">
        <w:t xml:space="preserve">with external antenna </w:t>
      </w:r>
      <w:r w:rsidR="00AB5520">
        <w:t>f</w:t>
      </w:r>
      <w:r w:rsidR="00467BA3">
        <w:t>i</w:t>
      </w:r>
      <w:r w:rsidR="00AB5520">
        <w:t xml:space="preserve">xed or </w:t>
      </w:r>
      <w:r w:rsidR="00AB5520" w:rsidRPr="00AB5520">
        <w:t>on-board moving platform</w:t>
      </w:r>
      <w:r w:rsidR="00AB5520">
        <w:t xml:space="preserve">. </w:t>
      </w:r>
    </w:p>
    <w:p w14:paraId="46DD7E48" w14:textId="64A7363C" w:rsidR="00052FF1" w:rsidRDefault="009B19F1" w:rsidP="00E9252C">
      <w:pPr>
        <w:spacing w:before="100" w:beforeAutospacing="1" w:after="60" w:line="240" w:lineRule="auto"/>
        <w:jc w:val="both"/>
      </w:pPr>
      <w:r>
        <w:t xml:space="preserve">Using </w:t>
      </w:r>
      <w:r w:rsidR="00063381">
        <w:t>these types</w:t>
      </w:r>
      <w:r>
        <w:t xml:space="preserve"> of UE</w:t>
      </w:r>
      <w:r w:rsidR="00467BA3">
        <w:t>s</w:t>
      </w:r>
      <w:r>
        <w:t xml:space="preserve">, </w:t>
      </w:r>
      <w:r w:rsidR="00577977">
        <w:t>s</w:t>
      </w:r>
      <w:r w:rsidR="00C532D8">
        <w:t xml:space="preserve">atellites services in Ka-band provide connectivity </w:t>
      </w:r>
      <w:r w:rsidR="00301A73">
        <w:t xml:space="preserve">services to end users </w:t>
      </w:r>
      <w:r w:rsidR="00C532D8">
        <w:t xml:space="preserve">in </w:t>
      </w:r>
      <w:r w:rsidR="00EF350E">
        <w:t>areas</w:t>
      </w:r>
      <w:r w:rsidR="00C532D8">
        <w:t xml:space="preserve"> </w:t>
      </w:r>
      <w:r w:rsidR="00301A73">
        <w:t>beyond terrestrial network coverage</w:t>
      </w:r>
      <w:r w:rsidR="007E658F">
        <w:t xml:space="preserve">. </w:t>
      </w:r>
      <w:r w:rsidR="00C532D8">
        <w:t>Today, broadband satellite operators provide broadband connectivity to end users at their homes and businesses.</w:t>
      </w:r>
    </w:p>
    <w:p w14:paraId="3A426E57" w14:textId="77777777" w:rsidR="00301A73" w:rsidRDefault="00C532D8" w:rsidP="00E9252C">
      <w:pPr>
        <w:spacing w:before="100" w:beforeAutospacing="1" w:after="60" w:line="240" w:lineRule="auto"/>
        <w:jc w:val="both"/>
      </w:pPr>
      <w:r>
        <w:t xml:space="preserve">In addition, </w:t>
      </w:r>
      <w:r w:rsidR="00EF350E">
        <w:t xml:space="preserve">machine-type broadband </w:t>
      </w:r>
      <w:r w:rsidR="00467BA3">
        <w:t>connectivity</w:t>
      </w:r>
      <w:r>
        <w:t xml:space="preserve"> over satellite</w:t>
      </w:r>
      <w:r w:rsidR="00EF350E">
        <w:t xml:space="preserve"> (such as ATMs, solar farms, etc</w:t>
      </w:r>
      <w:r w:rsidR="00D56C0F">
        <w:t>.</w:t>
      </w:r>
      <w:r w:rsidR="00EF350E">
        <w:t xml:space="preserve">) </w:t>
      </w:r>
      <w:r>
        <w:t>has been provided for years by several satellite communications operators</w:t>
      </w:r>
      <w:r w:rsidR="00467BA3">
        <w:t xml:space="preserve"> also in the higher frequency bands such as Ka band</w:t>
      </w:r>
      <w:r w:rsidR="00426B85">
        <w:t>.</w:t>
      </w:r>
      <w:r>
        <w:t xml:space="preserve">  </w:t>
      </w:r>
    </w:p>
    <w:p w14:paraId="287006C0" w14:textId="1D791BA6" w:rsidR="00C67EE6" w:rsidRDefault="00386524" w:rsidP="0025426A">
      <w:pPr>
        <w:spacing w:before="100" w:beforeAutospacing="1" w:after="60" w:line="240" w:lineRule="auto"/>
        <w:jc w:val="both"/>
      </w:pPr>
      <w:r>
        <w:t>There is a thriving and growing market for satellite broadband connectivity to mobile platforms</w:t>
      </w:r>
      <w:r w:rsidR="00EF350E">
        <w:t>, also known as ESOMP</w:t>
      </w:r>
      <w:r w:rsidR="00EC5886">
        <w:t xml:space="preserve"> (Earth Station o</w:t>
      </w:r>
      <w:r w:rsidR="00EF350E">
        <w:t>n Moving Platform) or ESIMs</w:t>
      </w:r>
      <w:r w:rsidR="00385819">
        <w:t xml:space="preserve"> (Earth Stations In Motion), mounted on ships, aircraft and land vehicles</w:t>
      </w:r>
      <w:r>
        <w:t>.</w:t>
      </w:r>
      <w:r w:rsidR="0004567A">
        <w:t xml:space="preserve"> </w:t>
      </w:r>
      <w:r w:rsidR="00301A73">
        <w:t>For example, d</w:t>
      </w:r>
      <w:r w:rsidR="00C67EE6">
        <w:t xml:space="preserve">espite the impact of the COVID-19 pandemic, the commercial aviation connectivity market alone is projected to grow from USD 2.5 billion in 2020 to at least USD 10.5 billion in 2027, and the number of connected </w:t>
      </w:r>
      <w:r w:rsidR="00301A73">
        <w:t>commercial airliners will</w:t>
      </w:r>
      <w:r w:rsidR="00C67EE6">
        <w:t xml:space="preserve"> grow to more than 23,100 by 2025</w:t>
      </w:r>
      <w:r w:rsidR="007E658F">
        <w:t xml:space="preserve"> [13]</w:t>
      </w:r>
      <w:r w:rsidR="00C67EE6">
        <w:t>.  This is not accounting for private jets and other aviation verticals.</w:t>
      </w:r>
    </w:p>
    <w:p w14:paraId="6CBFB157" w14:textId="77777777" w:rsidR="00AA4C7F" w:rsidRDefault="00AA4C7F" w:rsidP="00B95A79">
      <w:pPr>
        <w:spacing w:after="0" w:line="100" w:lineRule="exact"/>
        <w:jc w:val="both"/>
      </w:pPr>
    </w:p>
    <w:p w14:paraId="11033C49" w14:textId="77777777" w:rsidR="00AA4C7F" w:rsidRDefault="00AA4C7F" w:rsidP="00E9252C">
      <w:pPr>
        <w:spacing w:after="0"/>
        <w:jc w:val="both"/>
      </w:pPr>
      <w:r>
        <w:t>Similarly, the connected ship market, which largely relies on satellite connectivity, is projected to grow to USD 9.1 billion by 2027, in the large cargo and defense vessels segments alone</w:t>
      </w:r>
      <w:r w:rsidR="007E658F">
        <w:t xml:space="preserve"> [14]</w:t>
      </w:r>
      <w:r>
        <w:t>.</w:t>
      </w:r>
    </w:p>
    <w:p w14:paraId="442C82BA" w14:textId="77777777" w:rsidR="00C67EE6" w:rsidRDefault="00C67EE6" w:rsidP="00E9252C">
      <w:pPr>
        <w:spacing w:after="0"/>
        <w:jc w:val="both"/>
      </w:pPr>
    </w:p>
    <w:p w14:paraId="7A9FFAF9" w14:textId="07563F7C" w:rsidR="00D05F82" w:rsidRDefault="001B75C5" w:rsidP="00E9252C">
      <w:pPr>
        <w:spacing w:after="0"/>
        <w:jc w:val="both"/>
      </w:pPr>
      <w:r>
        <w:t xml:space="preserve">The </w:t>
      </w:r>
      <w:r w:rsidR="00294D15">
        <w:t>“VSAT” type terminals</w:t>
      </w:r>
      <w:r>
        <w:t xml:space="preserve"> density for </w:t>
      </w:r>
      <w:r w:rsidR="00343A89">
        <w:t>these kinds of networks</w:t>
      </w:r>
      <w:r w:rsidR="00CA5624">
        <w:t xml:space="preserve"> is expected t</w:t>
      </w:r>
      <w:r>
        <w:t xml:space="preserve">o be </w:t>
      </w:r>
      <w:r w:rsidR="00386524">
        <w:t>of the order of 1</w:t>
      </w:r>
      <w:r w:rsidR="00D05F82">
        <w:t xml:space="preserve"> </w:t>
      </w:r>
      <w:r w:rsidR="00294D15">
        <w:t>“VSAT” type terminal</w:t>
      </w:r>
      <w:r w:rsidR="00D05F82">
        <w:t xml:space="preserve"> per</w:t>
      </w:r>
      <w:r w:rsidR="007E658F">
        <w:t>-</w:t>
      </w:r>
      <w:r w:rsidR="00D05F82">
        <w:t>km2</w:t>
      </w:r>
      <w:r w:rsidR="002A7711">
        <w:t xml:space="preserve"> in </w:t>
      </w:r>
      <w:r w:rsidR="007E658F">
        <w:t>“R</w:t>
      </w:r>
      <w:r w:rsidR="002A7711">
        <w:t>ural</w:t>
      </w:r>
      <w:r w:rsidR="007E658F">
        <w:t>”</w:t>
      </w:r>
      <w:r w:rsidR="005A726C">
        <w:t>, “Urban Macro</w:t>
      </w:r>
      <w:r w:rsidR="007E658F">
        <w:t>”</w:t>
      </w:r>
      <w:r w:rsidR="005A726C">
        <w:t xml:space="preserve"> and “Dense Urban”</w:t>
      </w:r>
      <w:r w:rsidR="002A7711">
        <w:t xml:space="preserve"> areas</w:t>
      </w:r>
      <w:r w:rsidR="00CA5624">
        <w:t>.</w:t>
      </w:r>
    </w:p>
    <w:p w14:paraId="666C27C1" w14:textId="77777777" w:rsidR="00D05F82" w:rsidRDefault="00D05F82" w:rsidP="00E9252C">
      <w:pPr>
        <w:spacing w:after="0"/>
        <w:jc w:val="both"/>
      </w:pPr>
    </w:p>
    <w:p w14:paraId="0A208901" w14:textId="57DD0CDC" w:rsidR="00213FE1" w:rsidRDefault="00A518A4" w:rsidP="00E9252C">
      <w:pPr>
        <w:spacing w:after="0"/>
        <w:jc w:val="both"/>
      </w:pPr>
      <w:r>
        <w:t>In addition, t</w:t>
      </w:r>
      <w:r w:rsidR="00B75040">
        <w:t xml:space="preserve">here </w:t>
      </w:r>
      <w:r w:rsidR="00601B0F">
        <w:t>are</w:t>
      </w:r>
      <w:r>
        <w:t xml:space="preserve"> emerging and</w:t>
      </w:r>
      <w:r w:rsidR="00601B0F">
        <w:t xml:space="preserve"> </w:t>
      </w:r>
      <w:r w:rsidR="00B75040">
        <w:t xml:space="preserve">future use cases where </w:t>
      </w:r>
      <w:r w:rsidR="00052FF1">
        <w:t>fixed and mobile</w:t>
      </w:r>
      <w:r w:rsidR="007E658F">
        <w:t xml:space="preserve"> 5G</w:t>
      </w:r>
      <w:r w:rsidR="00052FF1">
        <w:t xml:space="preserve"> </w:t>
      </w:r>
      <w:r>
        <w:t xml:space="preserve">NTN </w:t>
      </w:r>
      <w:r w:rsidR="00052FF1">
        <w:t>services</w:t>
      </w:r>
      <w:r w:rsidR="00B75040">
        <w:t xml:space="preserve"> in Ka-band can </w:t>
      </w:r>
      <w:r>
        <w:t xml:space="preserve">extend and </w:t>
      </w:r>
      <w:r w:rsidR="00B75040">
        <w:t>complement the</w:t>
      </w:r>
      <w:r w:rsidR="00386524">
        <w:t xml:space="preserve"> current</w:t>
      </w:r>
      <w:r w:rsidR="00B75040">
        <w:t xml:space="preserve"> 5G </w:t>
      </w:r>
      <w:r w:rsidR="00386524">
        <w:t xml:space="preserve">terrestrial </w:t>
      </w:r>
      <w:r w:rsidR="00B75040">
        <w:t>services</w:t>
      </w:r>
      <w:r w:rsidR="00386524">
        <w:t>, as well as future 5G NTN in lower bands</w:t>
      </w:r>
      <w:r w:rsidR="00B75040">
        <w:t xml:space="preserve">. </w:t>
      </w:r>
      <w:r w:rsidR="00213FE1">
        <w:t xml:space="preserve">Examples of </w:t>
      </w:r>
      <w:r w:rsidR="00052FF1">
        <w:t>5G fixed and mobile</w:t>
      </w:r>
      <w:r w:rsidR="00EB45DC">
        <w:t xml:space="preserve"> </w:t>
      </w:r>
      <w:r w:rsidR="00122402">
        <w:t>use cases</w:t>
      </w:r>
      <w:r w:rsidR="00052FF1">
        <w:t xml:space="preserve"> that are well served via satellite broadband</w:t>
      </w:r>
      <w:r w:rsidR="00122402">
        <w:t xml:space="preserve"> </w:t>
      </w:r>
      <w:r w:rsidR="007E658F">
        <w:t xml:space="preserve">in Ka band </w:t>
      </w:r>
      <w:r w:rsidR="00213FE1">
        <w:t>include:</w:t>
      </w:r>
    </w:p>
    <w:p w14:paraId="1D34A895" w14:textId="77777777" w:rsidR="00213FE1" w:rsidRDefault="00213FE1" w:rsidP="0025426A">
      <w:pPr>
        <w:pStyle w:val="ListParagraph"/>
        <w:numPr>
          <w:ilvl w:val="0"/>
          <w:numId w:val="54"/>
        </w:numPr>
        <w:spacing w:after="0"/>
        <w:ind w:left="450" w:hanging="270"/>
        <w:jc w:val="both"/>
      </w:pPr>
      <w:r>
        <w:t xml:space="preserve">5G </w:t>
      </w:r>
      <w:r w:rsidR="007E658F">
        <w:t xml:space="preserve">broadband </w:t>
      </w:r>
      <w:r>
        <w:t xml:space="preserve">connectivity </w:t>
      </w:r>
      <w:r w:rsidR="00EB45DC">
        <w:t xml:space="preserve">direct </w:t>
      </w:r>
      <w:r>
        <w:t>to the home, business or government</w:t>
      </w:r>
      <w:r w:rsidR="0061611A">
        <w:t>;</w:t>
      </w:r>
    </w:p>
    <w:p w14:paraId="08341EF8" w14:textId="77777777" w:rsidR="007E658F" w:rsidRDefault="00213FE1" w:rsidP="0025426A">
      <w:pPr>
        <w:pStyle w:val="ListParagraph"/>
        <w:numPr>
          <w:ilvl w:val="0"/>
          <w:numId w:val="54"/>
        </w:numPr>
        <w:spacing w:after="0"/>
        <w:ind w:left="450" w:hanging="270"/>
        <w:jc w:val="both"/>
      </w:pPr>
      <w:r>
        <w:t>Expanded use of machine type communication via satellite for applications ranging from smart agriculture to environmental protection and transportation</w:t>
      </w:r>
      <w:r w:rsidR="0095779D">
        <w:t xml:space="preserve"> and connectivity to local area IoT services</w:t>
      </w:r>
      <w:r w:rsidR="0061611A">
        <w:t>;</w:t>
      </w:r>
    </w:p>
    <w:p w14:paraId="5294C478" w14:textId="77777777" w:rsidR="0061611A" w:rsidRDefault="00052FF1" w:rsidP="0025426A">
      <w:pPr>
        <w:pStyle w:val="ListParagraph"/>
        <w:numPr>
          <w:ilvl w:val="0"/>
          <w:numId w:val="54"/>
        </w:numPr>
        <w:spacing w:after="0"/>
        <w:ind w:left="450" w:hanging="270"/>
        <w:jc w:val="both"/>
      </w:pPr>
      <w:r>
        <w:t>Mobile b</w:t>
      </w:r>
      <w:r w:rsidR="00E16D81">
        <w:t xml:space="preserve">roadband services </w:t>
      </w:r>
      <w:r w:rsidR="006F7C8D">
        <w:t>on</w:t>
      </w:r>
      <w:r w:rsidR="00E16D81">
        <w:t xml:space="preserve">to moving </w:t>
      </w:r>
      <w:r>
        <w:t xml:space="preserve">platforms </w:t>
      </w:r>
      <w:r w:rsidR="006F7C8D">
        <w:t xml:space="preserve">such as </w:t>
      </w:r>
      <w:r w:rsidR="00A518A4">
        <w:t xml:space="preserve">small </w:t>
      </w:r>
      <w:r w:rsidR="00163F22">
        <w:t>airplanes,</w:t>
      </w:r>
      <w:r>
        <w:t xml:space="preserve"> UAVs,</w:t>
      </w:r>
      <w:r w:rsidR="00163F22">
        <w:t xml:space="preserve"> </w:t>
      </w:r>
      <w:r w:rsidR="005F2252">
        <w:t xml:space="preserve">small </w:t>
      </w:r>
      <w:r>
        <w:t>boats, RVs, trucks, cars and</w:t>
      </w:r>
      <w:r w:rsidR="00163F22">
        <w:t xml:space="preserve"> fast trains</w:t>
      </w:r>
      <w:r w:rsidR="0061611A">
        <w:t>;</w:t>
      </w:r>
    </w:p>
    <w:p w14:paraId="30420829" w14:textId="77777777" w:rsidR="0061611A" w:rsidRDefault="0061611A" w:rsidP="0025426A">
      <w:pPr>
        <w:pStyle w:val="ListParagraph"/>
        <w:numPr>
          <w:ilvl w:val="0"/>
          <w:numId w:val="54"/>
        </w:numPr>
        <w:spacing w:after="0"/>
        <w:ind w:left="450" w:hanging="270"/>
        <w:jc w:val="both"/>
      </w:pPr>
      <w:r>
        <w:t>Multi-connectivity for fixed and mobile, hybrid satellite-terrestrial connectivity, network resilience, edge network delivery, trunking, direct-to-node broadcast, local area public safety.</w:t>
      </w:r>
    </w:p>
    <w:p w14:paraId="703FDB31" w14:textId="77777777" w:rsidR="0061611A" w:rsidRDefault="0061611A" w:rsidP="00E9252C">
      <w:pPr>
        <w:pStyle w:val="ListParagraph"/>
        <w:spacing w:after="0"/>
        <w:ind w:left="0"/>
        <w:jc w:val="both"/>
      </w:pPr>
    </w:p>
    <w:p w14:paraId="5CC8DFE2" w14:textId="05886736" w:rsidR="00EE6F4E" w:rsidRDefault="00260B5A" w:rsidP="00E9252C">
      <w:pPr>
        <w:pStyle w:val="ListParagraph"/>
        <w:spacing w:after="0"/>
        <w:ind w:left="0"/>
        <w:jc w:val="both"/>
      </w:pPr>
      <w:r>
        <w:t>Most of</w:t>
      </w:r>
      <w:r w:rsidR="00A518A4">
        <w:t xml:space="preserve"> the above services </w:t>
      </w:r>
      <w:r w:rsidR="00E84FD6">
        <w:t>have</w:t>
      </w:r>
      <w:r w:rsidR="0061611A">
        <w:t xml:space="preserve"> been studied as part of TR 38.811</w:t>
      </w:r>
      <w:r w:rsidR="0095779D">
        <w:t xml:space="preserve"> [15]</w:t>
      </w:r>
      <w:r w:rsidR="00A518A4">
        <w:t xml:space="preserve">.  Moreover, the specification of NR-NTN solutions for VSAT and ESIM services in FR2 bands is part of the key mission of </w:t>
      </w:r>
      <w:r w:rsidR="009A36B5">
        <w:t xml:space="preserve">the NR-NTN WI, </w:t>
      </w:r>
      <w:r w:rsidR="0061611A">
        <w:t xml:space="preserve">and </w:t>
      </w:r>
      <w:r w:rsidR="009A36B5">
        <w:t>in line with the outcome of TR 38.821</w:t>
      </w:r>
      <w:r w:rsidR="00EC5886">
        <w:t xml:space="preserve"> [4]</w:t>
      </w:r>
      <w:r w:rsidR="009A36B5">
        <w:t>.</w:t>
      </w:r>
    </w:p>
    <w:p w14:paraId="2141CF53" w14:textId="77777777" w:rsidR="00D1168C" w:rsidRDefault="00D1168C" w:rsidP="00E9252C">
      <w:pPr>
        <w:pStyle w:val="ListParagraph"/>
        <w:spacing w:after="0"/>
        <w:ind w:left="0"/>
        <w:jc w:val="both"/>
      </w:pPr>
    </w:p>
    <w:p w14:paraId="74BB5E0B" w14:textId="77777777" w:rsidR="00D1168C" w:rsidRDefault="00D1168C" w:rsidP="00E9252C">
      <w:pPr>
        <w:spacing w:after="0"/>
        <w:jc w:val="both"/>
      </w:pPr>
      <w:r>
        <w:rPr>
          <w:b/>
        </w:rPr>
        <w:t xml:space="preserve">Observation 5: </w:t>
      </w:r>
      <w:r>
        <w:t xml:space="preserve">A significant portion of the NR-NTN use cases identified in TR 38.811 [15] are relevant to satellite Ka band and other FR2 and FR2-like frequency bands. </w:t>
      </w:r>
      <w:r w:rsidRPr="00196DFC">
        <w:t>A</w:t>
      </w:r>
      <w:r w:rsidR="00EC5886">
        <w:t>d</w:t>
      </w:r>
      <w:r w:rsidRPr="00196DFC">
        <w:t xml:space="preserve">dressing </w:t>
      </w:r>
      <w:r>
        <w:t>satellite</w:t>
      </w:r>
      <w:r w:rsidRPr="00196DFC">
        <w:t xml:space="preserve"> Ka band as exemplary band in NR-NTN-solutions WI during Rel-17 will support the seamless integration of high capacity satellite networks for connectivity of fixed and mobile </w:t>
      </w:r>
      <w:r>
        <w:t>services</w:t>
      </w:r>
      <w:r w:rsidRPr="00196DFC">
        <w:t>.</w:t>
      </w:r>
    </w:p>
    <w:p w14:paraId="5313C35B" w14:textId="77777777" w:rsidR="005F2252" w:rsidRDefault="005F2252" w:rsidP="00E9252C">
      <w:pPr>
        <w:spacing w:after="0"/>
        <w:jc w:val="both"/>
        <w:rPr>
          <w:b/>
        </w:rPr>
      </w:pPr>
    </w:p>
    <w:p w14:paraId="383A6189" w14:textId="5CEC3E7C" w:rsidR="0095779D" w:rsidRDefault="0095779D" w:rsidP="00E9252C">
      <w:pPr>
        <w:spacing w:after="0"/>
        <w:jc w:val="both"/>
      </w:pPr>
      <w:r w:rsidRPr="007706CC">
        <w:rPr>
          <w:b/>
        </w:rPr>
        <w:t>Proposal</w:t>
      </w:r>
      <w:r w:rsidR="00D1168C">
        <w:rPr>
          <w:b/>
        </w:rPr>
        <w:t xml:space="preserve"> </w:t>
      </w:r>
      <w:r w:rsidR="00F36ED1">
        <w:rPr>
          <w:b/>
        </w:rPr>
        <w:t>5</w:t>
      </w:r>
      <w:r w:rsidRPr="007706CC">
        <w:rPr>
          <w:b/>
        </w:rPr>
        <w:t>:</w:t>
      </w:r>
      <w:r w:rsidR="00D1168C">
        <w:rPr>
          <w:b/>
        </w:rPr>
        <w:t xml:space="preserve"> </w:t>
      </w:r>
      <w:r w:rsidR="00D1168C">
        <w:t xml:space="preserve">For its adjacent channel coexistence studies, </w:t>
      </w:r>
      <w:r w:rsidR="00F36ED1">
        <w:t>satellite Ka band</w:t>
      </w:r>
      <w:r>
        <w:t xml:space="preserve"> should consider a density of fixed </w:t>
      </w:r>
      <w:r w:rsidR="00D1168C">
        <w:t xml:space="preserve">and mobile </w:t>
      </w:r>
      <w:r>
        <w:t>“VSAT” type UEs</w:t>
      </w:r>
      <w:r w:rsidR="00D1168C">
        <w:t xml:space="preserve"> (i.e. including ESIMs)</w:t>
      </w:r>
      <w:r>
        <w:t xml:space="preserve"> of </w:t>
      </w:r>
      <w:r w:rsidR="00866D70">
        <w:t>maximum</w:t>
      </w:r>
      <w:r>
        <w:t xml:space="preserve"> 1 UE per-km2 in </w:t>
      </w:r>
      <w:r w:rsidR="00DA2052">
        <w:t xml:space="preserve">“Rural”, </w:t>
      </w:r>
      <w:r>
        <w:t>“</w:t>
      </w:r>
      <w:r w:rsidR="00EC5886">
        <w:t>Urban Macro</w:t>
      </w:r>
      <w:r>
        <w:t>”</w:t>
      </w:r>
      <w:r w:rsidR="00EC5886">
        <w:t xml:space="preserve"> and “Urban Dense”</w:t>
      </w:r>
      <w:r>
        <w:t xml:space="preserve"> areas.</w:t>
      </w:r>
    </w:p>
    <w:p w14:paraId="32BC98B1" w14:textId="77777777" w:rsidR="00D54249" w:rsidRPr="001E4EC8" w:rsidRDefault="00D54249" w:rsidP="001E4EC8">
      <w:pPr>
        <w:pStyle w:val="Heading2"/>
      </w:pPr>
      <w:r w:rsidRPr="001E4EC8">
        <w:t xml:space="preserve">2.3 </w:t>
      </w:r>
      <w:r w:rsidR="00953637">
        <w:t xml:space="preserve">Target </w:t>
      </w:r>
      <w:r w:rsidRPr="001E4EC8">
        <w:t xml:space="preserve">UE Types </w:t>
      </w:r>
    </w:p>
    <w:p w14:paraId="083A8290" w14:textId="77777777" w:rsidR="00D54249" w:rsidRDefault="00D54249" w:rsidP="00E9252C">
      <w:pPr>
        <w:spacing w:before="100" w:beforeAutospacing="1" w:after="60" w:line="240" w:lineRule="auto"/>
        <w:jc w:val="both"/>
        <w:rPr>
          <w:rFonts w:eastAsia="PMingLiU" w:cstheme="minorHAnsi"/>
          <w:lang w:val="en-GB" w:eastAsia="zh-TW"/>
        </w:rPr>
      </w:pPr>
      <w:r>
        <w:rPr>
          <w:rFonts w:eastAsia="PMingLiU" w:cstheme="minorHAnsi"/>
          <w:lang w:val="en-GB" w:eastAsia="zh-TW"/>
        </w:rPr>
        <w:t>In the revised WID “</w:t>
      </w:r>
      <w:r w:rsidRPr="00AE7DA3">
        <w:rPr>
          <w:rFonts w:eastAsia="PMingLiU" w:cstheme="minorHAnsi"/>
          <w:lang w:val="en-GB" w:eastAsia="zh-TW"/>
        </w:rPr>
        <w:t>Solutions for NR to support non-terrestrial networks (NTN)</w:t>
      </w:r>
      <w:r>
        <w:rPr>
          <w:rFonts w:eastAsia="PMingLiU" w:cstheme="minorHAnsi"/>
          <w:lang w:val="en-GB" w:eastAsia="zh-TW"/>
        </w:rPr>
        <w:t>” in RP-202908</w:t>
      </w:r>
      <w:r w:rsidR="00033E61">
        <w:rPr>
          <w:rFonts w:eastAsia="PMingLiU" w:cstheme="minorHAnsi"/>
          <w:lang w:val="en-GB" w:eastAsia="zh-TW"/>
        </w:rPr>
        <w:t xml:space="preserve"> [</w:t>
      </w:r>
      <w:r w:rsidR="00EC5886">
        <w:rPr>
          <w:rFonts w:eastAsia="PMingLiU" w:cstheme="minorHAnsi"/>
          <w:lang w:val="en-GB" w:eastAsia="zh-TW"/>
        </w:rPr>
        <w:t>3</w:t>
      </w:r>
      <w:r w:rsidR="00033E61">
        <w:rPr>
          <w:rFonts w:eastAsia="PMingLiU" w:cstheme="minorHAnsi"/>
          <w:lang w:val="en-GB" w:eastAsia="zh-TW"/>
        </w:rPr>
        <w:t>]</w:t>
      </w:r>
      <w:r>
        <w:rPr>
          <w:rFonts w:eastAsia="PMingLiU" w:cstheme="minorHAnsi"/>
          <w:lang w:val="en-GB" w:eastAsia="zh-TW"/>
        </w:rPr>
        <w:t>, the following principle has been added</w:t>
      </w:r>
      <w:r w:rsidR="00EC5886">
        <w:rPr>
          <w:rFonts w:eastAsia="PMingLiU" w:cstheme="minorHAnsi"/>
          <w:lang w:val="en-GB" w:eastAsia="zh-TW"/>
        </w:rPr>
        <w:t>:</w:t>
      </w:r>
    </w:p>
    <w:p w14:paraId="47AF93FF" w14:textId="77777777" w:rsidR="00E973FE" w:rsidRDefault="00D54249" w:rsidP="00E9252C">
      <w:pPr>
        <w:overflowPunct w:val="0"/>
        <w:autoSpaceDE w:val="0"/>
        <w:autoSpaceDN w:val="0"/>
        <w:adjustRightInd w:val="0"/>
        <w:spacing w:after="0" w:line="240" w:lineRule="auto"/>
        <w:ind w:left="360"/>
        <w:jc w:val="both"/>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35CD74A1" w14:textId="77777777" w:rsidR="00137AA0" w:rsidRPr="00023DAA" w:rsidRDefault="00C70676" w:rsidP="00E9252C">
      <w:pPr>
        <w:spacing w:before="100" w:beforeAutospacing="1" w:after="60" w:line="240" w:lineRule="auto"/>
        <w:jc w:val="both"/>
        <w:rPr>
          <w:rFonts w:ascii="Arial" w:eastAsia="SimSun" w:hAnsi="Arial"/>
          <w:spacing w:val="-4"/>
          <w:sz w:val="19"/>
          <w:szCs w:val="19"/>
          <w:lang w:eastAsia="de-DE"/>
        </w:rPr>
      </w:pPr>
      <w:r>
        <w:rPr>
          <w:rFonts w:eastAsia="PMingLiU" w:cstheme="minorHAnsi"/>
          <w:lang w:val="en-GB" w:eastAsia="zh-TW"/>
        </w:rPr>
        <w:t xml:space="preserve">As described in </w:t>
      </w:r>
      <w:r w:rsidRPr="00C70676">
        <w:rPr>
          <w:rFonts w:eastAsia="PMingLiU" w:cstheme="minorHAnsi"/>
          <w:lang w:val="en-GB" w:eastAsia="zh-TW"/>
        </w:rPr>
        <w:t>RP-202732</w:t>
      </w:r>
      <w:r w:rsidR="0023461E">
        <w:rPr>
          <w:rFonts w:eastAsia="PMingLiU" w:cstheme="minorHAnsi"/>
          <w:lang w:val="en-GB" w:eastAsia="zh-TW"/>
        </w:rPr>
        <w:t xml:space="preserve"> </w:t>
      </w:r>
      <w:r w:rsidR="00254429" w:rsidRPr="0025426A">
        <w:rPr>
          <w:rFonts w:eastAsia="PMingLiU" w:cstheme="minorHAnsi"/>
          <w:lang w:val="en-GB" w:eastAsia="zh-TW"/>
        </w:rPr>
        <w:t>[</w:t>
      </w:r>
      <w:r w:rsidR="005C5ED2" w:rsidRPr="0025426A">
        <w:rPr>
          <w:rFonts w:eastAsia="PMingLiU" w:cstheme="minorHAnsi"/>
          <w:lang w:val="en-GB" w:eastAsia="zh-TW"/>
        </w:rPr>
        <w:t>6</w:t>
      </w:r>
      <w:r w:rsidR="00254429" w:rsidRPr="0025426A">
        <w:rPr>
          <w:rFonts w:eastAsia="PMingLiU" w:cstheme="minorHAnsi"/>
          <w:lang w:val="en-GB" w:eastAsia="zh-TW"/>
        </w:rPr>
        <w:t>]</w:t>
      </w:r>
      <w:r w:rsidRPr="0025426A">
        <w:rPr>
          <w:rFonts w:eastAsia="PMingLiU" w:cstheme="minorHAnsi"/>
          <w:lang w:val="en-GB" w:eastAsia="zh-TW"/>
        </w:rPr>
        <w:t>,</w:t>
      </w:r>
      <w:r>
        <w:rPr>
          <w:rFonts w:eastAsia="PMingLiU" w:cstheme="minorHAnsi"/>
          <w:lang w:val="en-GB" w:eastAsia="zh-TW"/>
        </w:rPr>
        <w:t xml:space="preserve"> it</w:t>
      </w:r>
      <w:r w:rsidR="00D54249">
        <w:rPr>
          <w:rFonts w:eastAsia="PMingLiU" w:cstheme="minorHAnsi"/>
          <w:lang w:val="en-GB" w:eastAsia="zh-TW"/>
        </w:rPr>
        <w:t xml:space="preserve"> shall be understood that m</w:t>
      </w:r>
      <w:r w:rsidR="00D54249" w:rsidRPr="00BD74A9">
        <w:rPr>
          <w:rFonts w:eastAsia="PMingLiU" w:cstheme="minorHAnsi"/>
          <w:lang w:val="en-GB" w:eastAsia="zh-TW"/>
        </w:rPr>
        <w:t xml:space="preserve">oving platform mounted </w:t>
      </w:r>
      <w:r w:rsidR="00D54249">
        <w:rPr>
          <w:rFonts w:eastAsia="PMingLiU" w:cstheme="minorHAnsi"/>
          <w:lang w:val="en-GB" w:eastAsia="zh-TW"/>
        </w:rPr>
        <w:t>“VSAT” devices refer to ESOMP (Earth Station On Moving Platform) or ESIM (Earth Station In Motion) [</w:t>
      </w:r>
      <w:r w:rsidR="005C5ED2">
        <w:rPr>
          <w:rFonts w:eastAsia="PMingLiU" w:cstheme="minorHAnsi"/>
          <w:lang w:val="en-GB" w:eastAsia="zh-TW"/>
        </w:rPr>
        <w:t>5</w:t>
      </w:r>
      <w:r w:rsidR="00D54249">
        <w:rPr>
          <w:rFonts w:eastAsia="PMingLiU" w:cstheme="minorHAnsi"/>
          <w:lang w:val="en-GB" w:eastAsia="zh-TW"/>
        </w:rPr>
        <w:t xml:space="preserve">]. </w:t>
      </w:r>
      <w:r w:rsidR="00137AA0">
        <w:rPr>
          <w:lang w:eastAsia="zh-CN"/>
        </w:rPr>
        <w:t>A m</w:t>
      </w:r>
      <w:r w:rsidR="00137AA0" w:rsidRPr="00FC57E2">
        <w:rPr>
          <w:lang w:eastAsia="zh-CN"/>
        </w:rPr>
        <w:t xml:space="preserve">oving platform mounted </w:t>
      </w:r>
      <w:r w:rsidR="00137AA0">
        <w:rPr>
          <w:lang w:eastAsia="zh-CN"/>
        </w:rPr>
        <w:t>UE</w:t>
      </w:r>
      <w:r w:rsidR="00137AA0" w:rsidRPr="00FC57E2">
        <w:rPr>
          <w:rFonts w:ascii="Calibri" w:eastAsia="Calibri" w:hAnsi="Calibri" w:cs="Calibri"/>
        </w:rPr>
        <w:t xml:space="preserve"> </w:t>
      </w:r>
      <w:r w:rsidR="00137AA0">
        <w:rPr>
          <w:rFonts w:ascii="Calibri" w:eastAsia="Calibri" w:hAnsi="Calibri" w:cs="Calibri"/>
        </w:rPr>
        <w:t xml:space="preserve">has been referred to as an </w:t>
      </w:r>
      <w:r w:rsidR="00137AA0" w:rsidRPr="00FC57E2">
        <w:rPr>
          <w:rFonts w:ascii="Calibri" w:eastAsia="Calibri" w:hAnsi="Calibri" w:cs="Calibri"/>
        </w:rPr>
        <w:t>E</w:t>
      </w:r>
      <w:r w:rsidR="00137AA0">
        <w:rPr>
          <w:rFonts w:ascii="Calibri" w:eastAsia="Calibri" w:hAnsi="Calibri" w:cs="Calibri"/>
        </w:rPr>
        <w:t xml:space="preserve">arth Station on Moving Platform (ESOMP); however, recently ITU has changed the definition to Earth Station in Motion (ESIM). These devices are typically </w:t>
      </w:r>
      <w:r w:rsidR="00137AA0" w:rsidRPr="00FC57E2">
        <w:rPr>
          <w:rFonts w:ascii="Calibri" w:eastAsia="Calibri" w:hAnsi="Calibri" w:cs="Calibri"/>
        </w:rPr>
        <w:t>mounted</w:t>
      </w:r>
      <w:r w:rsidR="00137AA0">
        <w:rPr>
          <w:rFonts w:ascii="Calibri" w:eastAsia="Calibri" w:hAnsi="Calibri" w:cs="Calibri"/>
        </w:rPr>
        <w:t xml:space="preserve"> on</w:t>
      </w:r>
      <w:r w:rsidR="00137AA0" w:rsidRPr="00FC57E2">
        <w:rPr>
          <w:rFonts w:ascii="Calibri" w:eastAsia="Calibri" w:hAnsi="Calibri" w:cs="Calibri"/>
        </w:rPr>
        <w:t xml:space="preserve"> </w:t>
      </w:r>
      <w:r w:rsidR="00137AA0">
        <w:rPr>
          <w:rFonts w:ascii="Calibri" w:eastAsia="Calibri" w:hAnsi="Calibri" w:cs="Calibri"/>
        </w:rPr>
        <w:t xml:space="preserve">vessels, </w:t>
      </w:r>
      <w:r w:rsidR="00137AA0" w:rsidRPr="00FC57E2">
        <w:rPr>
          <w:rFonts w:ascii="Calibri" w:eastAsia="Calibri" w:hAnsi="Calibri" w:cs="Calibri"/>
        </w:rPr>
        <w:t>airplane</w:t>
      </w:r>
      <w:r w:rsidR="00137AA0">
        <w:rPr>
          <w:rFonts w:ascii="Calibri" w:eastAsia="Calibri" w:hAnsi="Calibri" w:cs="Calibri"/>
        </w:rPr>
        <w:t xml:space="preserve">s, trains or fast vehicles. </w:t>
      </w:r>
      <w:r w:rsidR="00137AA0" w:rsidRPr="00E32BD0">
        <w:rPr>
          <w:rFonts w:ascii="Calibri" w:eastAsia="Calibri" w:hAnsi="Calibri" w:cs="Calibri"/>
        </w:rPr>
        <w:t xml:space="preserve">The UE can also act as </w:t>
      </w:r>
      <w:r w:rsidR="00137AA0">
        <w:rPr>
          <w:rFonts w:ascii="Calibri" w:eastAsia="Calibri" w:hAnsi="Calibri" w:cs="Calibri"/>
        </w:rPr>
        <w:t xml:space="preserve">a </w:t>
      </w:r>
      <w:r w:rsidR="00137AA0" w:rsidRPr="00E32BD0">
        <w:rPr>
          <w:rFonts w:ascii="Calibri" w:eastAsia="Calibri" w:hAnsi="Calibri" w:cs="Calibri"/>
        </w:rPr>
        <w:t>relay to other UE</w:t>
      </w:r>
      <w:r w:rsidR="00137AA0">
        <w:rPr>
          <w:rFonts w:ascii="Calibri" w:eastAsia="Calibri" w:hAnsi="Calibri" w:cs="Calibri"/>
        </w:rPr>
        <w:t>s</w:t>
      </w:r>
      <w:r w:rsidR="00137AA0" w:rsidRPr="00E32BD0">
        <w:rPr>
          <w:rFonts w:ascii="Calibri" w:eastAsia="Calibri" w:hAnsi="Calibri" w:cs="Calibri"/>
        </w:rPr>
        <w:t xml:space="preserve"> on board moving platforms</w:t>
      </w:r>
      <w:r w:rsidR="00137AA0">
        <w:rPr>
          <w:rFonts w:ascii="Calibri" w:eastAsia="Calibri" w:hAnsi="Calibri" w:cs="Calibri"/>
        </w:rPr>
        <w:t>.</w:t>
      </w:r>
      <w:r w:rsidR="00137AA0" w:rsidRPr="00E32BD0">
        <w:rPr>
          <w:rFonts w:ascii="Calibri" w:eastAsia="Calibri" w:hAnsi="Calibri" w:cs="Calibri"/>
        </w:rPr>
        <w:t xml:space="preserve"> </w:t>
      </w:r>
    </w:p>
    <w:p w14:paraId="260019E9" w14:textId="583820DA" w:rsidR="00137AA0" w:rsidRDefault="00137AA0" w:rsidP="00E9252C">
      <w:pPr>
        <w:spacing w:before="100" w:beforeAutospacing="1" w:after="60" w:line="240" w:lineRule="auto"/>
        <w:jc w:val="both"/>
        <w:rPr>
          <w:rFonts w:ascii="Calibri" w:eastAsia="Calibri" w:hAnsi="Calibri" w:cs="Calibri"/>
        </w:rPr>
      </w:pPr>
      <w:r w:rsidRPr="00023DAA">
        <w:rPr>
          <w:rFonts w:eastAsia="PMingLiU" w:cstheme="minorHAnsi"/>
          <w:lang w:val="en-GB" w:eastAsia="zh-TW"/>
        </w:rPr>
        <w:t>ESIM (Earth stations in motion) [</w:t>
      </w:r>
      <w:r w:rsidR="005C5ED2">
        <w:rPr>
          <w:rFonts w:eastAsia="PMingLiU" w:cstheme="minorHAnsi"/>
          <w:lang w:val="en-GB" w:eastAsia="zh-TW"/>
        </w:rPr>
        <w:t>5</w:t>
      </w:r>
      <w:r w:rsidRPr="00023DAA">
        <w:rPr>
          <w:rFonts w:eastAsia="PMingLiU" w:cstheme="minorHAnsi"/>
          <w:lang w:val="en-GB" w:eastAsia="zh-TW"/>
        </w:rPr>
        <w:t xml:space="preserve">] address a complex challenge – how to provide reliable and high-bandwidth </w:t>
      </w:r>
      <w:r>
        <w:rPr>
          <w:rFonts w:eastAsia="PMingLiU" w:cstheme="minorHAnsi"/>
          <w:lang w:val="en-GB" w:eastAsia="zh-TW"/>
        </w:rPr>
        <w:t>connectivity</w:t>
      </w:r>
      <w:r w:rsidRPr="00023DAA">
        <w:rPr>
          <w:rFonts w:eastAsia="PMingLiU" w:cstheme="minorHAnsi"/>
          <w:lang w:val="en-GB" w:eastAsia="zh-TW"/>
        </w:rPr>
        <w:t xml:space="preserve"> to what are literally moving targets. They provide broadband communications, including Internet connectivity, </w:t>
      </w:r>
      <w:r>
        <w:rPr>
          <w:rFonts w:eastAsia="PMingLiU" w:cstheme="minorHAnsi"/>
          <w:lang w:val="en-GB" w:eastAsia="zh-TW"/>
        </w:rPr>
        <w:t>to a variety of</w:t>
      </w:r>
      <w:r w:rsidRPr="00023DAA">
        <w:rPr>
          <w:rFonts w:eastAsia="PMingLiU" w:cstheme="minorHAnsi"/>
          <w:lang w:val="en-GB" w:eastAsia="zh-TW"/>
        </w:rPr>
        <w:t xml:space="preserve"> platforms in motion. </w:t>
      </w:r>
      <w:r>
        <w:rPr>
          <w:rFonts w:eastAsia="PMingLiU" w:cstheme="minorHAnsi"/>
          <w:lang w:val="en-GB" w:eastAsia="zh-TW"/>
        </w:rPr>
        <w:t>As per ITU definition t</w:t>
      </w:r>
      <w:r w:rsidRPr="00023DAA">
        <w:rPr>
          <w:rFonts w:eastAsia="PMingLiU" w:cstheme="minorHAnsi"/>
          <w:lang w:val="en-GB" w:eastAsia="zh-TW"/>
        </w:rPr>
        <w:t>here are currently three types of ESIM: ESIM on aircraft (aeronautical ESIM), ESIM on ships (maritime ESIM)</w:t>
      </w:r>
      <w:r>
        <w:rPr>
          <w:rFonts w:eastAsia="PMingLiU" w:cstheme="minorHAnsi"/>
          <w:lang w:val="en-GB" w:eastAsia="zh-TW"/>
        </w:rPr>
        <w:t>,</w:t>
      </w:r>
      <w:r w:rsidRPr="00023DAA">
        <w:rPr>
          <w:rFonts w:eastAsia="PMingLiU" w:cstheme="minorHAnsi"/>
          <w:lang w:val="en-GB" w:eastAsia="zh-TW"/>
        </w:rPr>
        <w:t xml:space="preserve"> and ESIM on land vehicles (land ESIM).</w:t>
      </w:r>
      <w:r>
        <w:rPr>
          <w:rFonts w:eastAsia="PMingLiU" w:cstheme="minorHAnsi"/>
          <w:lang w:val="en-GB" w:eastAsia="zh-TW"/>
        </w:rPr>
        <w:t xml:space="preserve"> ESIM on land vehicles was also referred to as </w:t>
      </w:r>
      <w:r>
        <w:rPr>
          <w:rFonts w:ascii="Calibri" w:eastAsia="Calibri" w:hAnsi="Calibri" w:cs="Calibri"/>
        </w:rPr>
        <w:t xml:space="preserve">to </w:t>
      </w:r>
      <w:r w:rsidRPr="00461682">
        <w:rPr>
          <w:rFonts w:ascii="Calibri" w:eastAsia="Calibri" w:hAnsi="Calibri" w:cs="Calibri"/>
        </w:rPr>
        <w:t>Vehicle-Mounted Earth Stations (VMES)</w:t>
      </w:r>
      <w:r w:rsidRPr="0025426A">
        <w:rPr>
          <w:rFonts w:ascii="Calibri" w:eastAsia="Calibri" w:hAnsi="Calibri" w:cs="Calibri"/>
        </w:rPr>
        <w:t>.</w:t>
      </w:r>
      <w:r>
        <w:rPr>
          <w:rFonts w:ascii="Calibri" w:eastAsia="Calibri" w:hAnsi="Calibri" w:cs="Calibri"/>
        </w:rPr>
        <w:t xml:space="preserve"> </w:t>
      </w:r>
      <w:r w:rsidRPr="00461682">
        <w:rPr>
          <w:rFonts w:ascii="Calibri" w:eastAsia="Calibri" w:hAnsi="Calibri" w:cs="Calibri"/>
        </w:rPr>
        <w:t>The VMES may transmit and receive data when the vehicle is in motion and when the vehicle is</w:t>
      </w:r>
      <w:r>
        <w:rPr>
          <w:rFonts w:ascii="Calibri" w:eastAsia="Calibri" w:hAnsi="Calibri" w:cs="Calibri"/>
        </w:rPr>
        <w:t xml:space="preserve"> stationary.</w:t>
      </w:r>
    </w:p>
    <w:p w14:paraId="6CEEB5D1" w14:textId="4403347F" w:rsidR="00D54249" w:rsidRDefault="00D54249" w:rsidP="00E9252C">
      <w:pPr>
        <w:spacing w:before="100" w:beforeAutospacing="1" w:after="60" w:line="240" w:lineRule="auto"/>
        <w:jc w:val="both"/>
        <w:rPr>
          <w:rFonts w:eastAsia="PMingLiU" w:cstheme="minorHAnsi"/>
          <w:lang w:val="en-GB" w:eastAsia="zh-TW"/>
        </w:rPr>
      </w:pPr>
      <w:r>
        <w:rPr>
          <w:rFonts w:eastAsia="PMingLiU" w:cstheme="minorHAnsi"/>
          <w:lang w:val="en-GB" w:eastAsia="zh-TW"/>
        </w:rPr>
        <w:t xml:space="preserve">In order to define the RF requirements for “VSAT” devices operating in Ka band, 3GPP RAN may consider </w:t>
      </w:r>
      <w:r w:rsidR="00B13C8B">
        <w:rPr>
          <w:rFonts w:eastAsia="PMingLiU" w:cstheme="minorHAnsi"/>
          <w:lang w:val="en-GB" w:eastAsia="zh-TW"/>
        </w:rPr>
        <w:t xml:space="preserve">ETSI </w:t>
      </w:r>
      <w:r>
        <w:rPr>
          <w:rFonts w:eastAsia="PMingLiU" w:cstheme="minorHAnsi"/>
          <w:lang w:val="en-GB" w:eastAsia="zh-TW"/>
        </w:rPr>
        <w:t xml:space="preserve">harmonized standard </w:t>
      </w:r>
      <w:r w:rsidR="00172458">
        <w:rPr>
          <w:rFonts w:eastAsia="PMingLiU" w:cstheme="minorHAnsi"/>
          <w:lang w:val="en-GB" w:eastAsia="zh-TW"/>
        </w:rPr>
        <w:t xml:space="preserve">as in </w:t>
      </w:r>
      <w:r w:rsidR="0099766A">
        <w:rPr>
          <w:rFonts w:eastAsia="PMingLiU" w:cstheme="minorHAnsi"/>
          <w:lang w:val="en-GB" w:eastAsia="zh-TW"/>
        </w:rPr>
        <w:t>[</w:t>
      </w:r>
      <w:r w:rsidR="007A26B4">
        <w:rPr>
          <w:rFonts w:eastAsia="PMingLiU" w:cstheme="minorHAnsi"/>
          <w:lang w:val="en-GB" w:eastAsia="zh-TW"/>
        </w:rPr>
        <w:t>8</w:t>
      </w:r>
      <w:r w:rsidR="0099766A">
        <w:rPr>
          <w:rFonts w:eastAsia="PMingLiU" w:cstheme="minorHAnsi"/>
          <w:lang w:val="en-GB" w:eastAsia="zh-TW"/>
        </w:rPr>
        <w:t>]</w:t>
      </w:r>
      <w:r w:rsidR="00E05A7F">
        <w:rPr>
          <w:rFonts w:eastAsia="PMingLiU" w:cstheme="minorHAnsi"/>
          <w:lang w:val="en-GB" w:eastAsia="zh-TW"/>
        </w:rPr>
        <w:t xml:space="preserve"> and</w:t>
      </w:r>
      <w:r w:rsidR="0099766A">
        <w:rPr>
          <w:rFonts w:eastAsia="PMingLiU" w:cstheme="minorHAnsi"/>
          <w:lang w:val="en-GB" w:eastAsia="zh-TW"/>
        </w:rPr>
        <w:t xml:space="preserve"> [</w:t>
      </w:r>
      <w:r w:rsidR="007A26B4">
        <w:rPr>
          <w:rFonts w:eastAsia="PMingLiU" w:cstheme="minorHAnsi"/>
          <w:lang w:val="en-GB" w:eastAsia="zh-TW"/>
        </w:rPr>
        <w:t>9</w:t>
      </w:r>
      <w:r w:rsidR="001D523D">
        <w:rPr>
          <w:rFonts w:eastAsia="PMingLiU" w:cstheme="minorHAnsi"/>
          <w:lang w:val="en-GB" w:eastAsia="zh-TW"/>
        </w:rPr>
        <w:t>]</w:t>
      </w:r>
      <w:r w:rsidR="00E05A7F">
        <w:rPr>
          <w:rFonts w:eastAsia="PMingLiU" w:cstheme="minorHAnsi"/>
          <w:lang w:val="en-GB" w:eastAsia="zh-TW"/>
        </w:rPr>
        <w:t>.</w:t>
      </w:r>
    </w:p>
    <w:p w14:paraId="4A01D509" w14:textId="77777777" w:rsidR="00864468" w:rsidRDefault="00864468" w:rsidP="00864468">
      <w:pPr>
        <w:spacing w:after="0" w:line="240" w:lineRule="auto"/>
        <w:jc w:val="both"/>
        <w:rPr>
          <w:rFonts w:eastAsia="PMingLiU" w:cstheme="minorHAnsi"/>
          <w:lang w:val="en-GB" w:eastAsia="zh-TW"/>
        </w:rPr>
      </w:pPr>
    </w:p>
    <w:p w14:paraId="5884F76D" w14:textId="77777777" w:rsidR="0095779D" w:rsidRDefault="0095779D" w:rsidP="00E9252C">
      <w:pPr>
        <w:jc w:val="both"/>
        <w:rPr>
          <w:b/>
          <w:bCs/>
        </w:rPr>
      </w:pPr>
      <w:r w:rsidRPr="007706CC">
        <w:rPr>
          <w:b/>
        </w:rPr>
        <w:t>Observation</w:t>
      </w:r>
      <w:r w:rsidR="000B4C03" w:rsidRPr="007706CC">
        <w:rPr>
          <w:b/>
        </w:rPr>
        <w:t xml:space="preserve"> 6</w:t>
      </w:r>
      <w:r w:rsidRPr="007706CC">
        <w:rPr>
          <w:b/>
        </w:rPr>
        <w:t>:</w:t>
      </w:r>
      <w:r w:rsidRPr="007706CC">
        <w:t xml:space="preserve"> For Ka band, both FSS and MSS denominated spectrum allocations are used and regulated to provide mobility services to ESIM</w:t>
      </w:r>
      <w:r>
        <w:t xml:space="preserve"> (Earth Station in Motion) UEs mounted on moving platforms (Vessels, vehicles, Trains, airplanes, etc</w:t>
      </w:r>
      <w:r w:rsidR="00E84FD6">
        <w:t>.</w:t>
      </w:r>
      <w:r>
        <w:t>)</w:t>
      </w:r>
      <w:r w:rsidR="00E84FD6">
        <w:t>.</w:t>
      </w:r>
    </w:p>
    <w:p w14:paraId="0014FA40" w14:textId="77777777" w:rsidR="00C72976" w:rsidRPr="00322B3C" w:rsidRDefault="00C23B75" w:rsidP="00E9252C">
      <w:pPr>
        <w:jc w:val="both"/>
        <w:rPr>
          <w:bCs/>
        </w:rPr>
      </w:pPr>
      <w:r w:rsidRPr="00016832">
        <w:rPr>
          <w:b/>
          <w:bCs/>
        </w:rPr>
        <w:t xml:space="preserve">Proposal </w:t>
      </w:r>
      <w:r w:rsidR="00356E56">
        <w:rPr>
          <w:b/>
          <w:bCs/>
        </w:rPr>
        <w:t>6</w:t>
      </w:r>
      <w:r w:rsidRPr="00016832">
        <w:rPr>
          <w:b/>
          <w:bCs/>
        </w:rPr>
        <w:t>:</w:t>
      </w:r>
      <w:r>
        <w:t xml:space="preserve"> </w:t>
      </w:r>
      <w:r w:rsidR="00620FF5" w:rsidRPr="00322B3C">
        <w:rPr>
          <w:bCs/>
        </w:rPr>
        <w:t xml:space="preserve">For </w:t>
      </w:r>
      <w:r w:rsidR="00071BD3">
        <w:rPr>
          <w:bCs/>
        </w:rPr>
        <w:t xml:space="preserve">Ka </w:t>
      </w:r>
      <w:r w:rsidR="00620FF5" w:rsidRPr="00322B3C">
        <w:rPr>
          <w:bCs/>
        </w:rPr>
        <w:t xml:space="preserve">band, “VSAT” UE including fixed/moving platform mounted </w:t>
      </w:r>
      <w:r w:rsidR="00601B0F">
        <w:rPr>
          <w:bCs/>
        </w:rPr>
        <w:t>terminals</w:t>
      </w:r>
      <w:r w:rsidR="00601B0F" w:rsidRPr="00322B3C">
        <w:rPr>
          <w:bCs/>
        </w:rPr>
        <w:t xml:space="preserve"> </w:t>
      </w:r>
      <w:r w:rsidR="00620FF5" w:rsidRPr="00322B3C">
        <w:rPr>
          <w:bCs/>
        </w:rPr>
        <w:t xml:space="preserve">are considered as baseline. The RF characteristics of “VSAT” UE in Table 6.1.1.1-3 in 3GPP TR 38.821 shall be assumed </w:t>
      </w:r>
      <w:r w:rsidR="00E14719" w:rsidRPr="00322B3C">
        <w:rPr>
          <w:bCs/>
        </w:rPr>
        <w:t>in the Rel-17 WI NR-NTN-solutions.</w:t>
      </w:r>
    </w:p>
    <w:p w14:paraId="3FD12112" w14:textId="77777777" w:rsidR="00C35DF9" w:rsidRPr="00CA6B34" w:rsidRDefault="00514149" w:rsidP="00514149">
      <w:pPr>
        <w:pStyle w:val="Heading2"/>
        <w:rPr>
          <w:lang w:eastAsia="fr-FR"/>
        </w:rPr>
      </w:pPr>
      <w:r>
        <w:rPr>
          <w:lang w:eastAsia="fr-FR"/>
        </w:rPr>
        <w:t>2.</w:t>
      </w:r>
      <w:r w:rsidR="007E1122">
        <w:rPr>
          <w:lang w:eastAsia="fr-FR"/>
        </w:rPr>
        <w:t>4</w:t>
      </w:r>
      <w:r w:rsidR="00C35DF9" w:rsidRPr="00CA6B34">
        <w:rPr>
          <w:lang w:eastAsia="fr-FR"/>
        </w:rPr>
        <w:t xml:space="preserve"> </w:t>
      </w:r>
      <w:r>
        <w:rPr>
          <w:lang w:eastAsia="fr-FR"/>
        </w:rPr>
        <w:t>C</w:t>
      </w:r>
      <w:r w:rsidR="00C35DF9" w:rsidRPr="00CA6B34">
        <w:rPr>
          <w:lang w:eastAsia="fr-FR"/>
        </w:rPr>
        <w:t>o</w:t>
      </w:r>
      <w:r w:rsidR="00CB6C65">
        <w:rPr>
          <w:lang w:eastAsia="fr-FR"/>
        </w:rPr>
        <w:t>-</w:t>
      </w:r>
      <w:r w:rsidR="00C35DF9" w:rsidRPr="00CA6B34">
        <w:rPr>
          <w:lang w:eastAsia="fr-FR"/>
        </w:rPr>
        <w:t xml:space="preserve">existence scenarios </w:t>
      </w:r>
    </w:p>
    <w:p w14:paraId="54EE95BE" w14:textId="73A2B8C2" w:rsidR="00F83E15" w:rsidRDefault="00F83E15" w:rsidP="007706CC">
      <w:pPr>
        <w:pStyle w:val="Heading4"/>
      </w:pPr>
      <w:r>
        <w:t>2.</w:t>
      </w:r>
      <w:r w:rsidR="0078419B">
        <w:t>4</w:t>
      </w:r>
      <w:r>
        <w:t>.1</w:t>
      </w:r>
      <w:r>
        <w:tab/>
      </w:r>
      <w:r w:rsidRPr="007706CC">
        <w:t xml:space="preserve">General </w:t>
      </w:r>
    </w:p>
    <w:p w14:paraId="5FF37835" w14:textId="77777777" w:rsidR="007C63F9" w:rsidRDefault="00672135" w:rsidP="00E9252C">
      <w:pPr>
        <w:jc w:val="both"/>
      </w:pPr>
      <w:r>
        <w:t xml:space="preserve">Three high </w:t>
      </w:r>
      <w:r w:rsidR="005C5ED2">
        <w:t xml:space="preserve">level coexistence scenarios relevant for FR2 are </w:t>
      </w:r>
      <w:r w:rsidR="00DF0535">
        <w:t>envisaged</w:t>
      </w:r>
      <w:r w:rsidR="005C5ED2">
        <w:t xml:space="preserve"> as</w:t>
      </w:r>
      <w:r w:rsidR="00DF0535">
        <w:t>:</w:t>
      </w:r>
    </w:p>
    <w:p w14:paraId="1A576F75" w14:textId="77777777" w:rsidR="00E84FD6" w:rsidRDefault="00E84FD6" w:rsidP="00E84FD6">
      <w:pPr>
        <w:pStyle w:val="TH"/>
        <w:numPr>
          <w:ilvl w:val="0"/>
          <w:numId w:val="57"/>
        </w:numPr>
        <w:jc w:val="both"/>
        <w:rPr>
          <w:rFonts w:asciiTheme="minorHAnsi" w:hAnsiTheme="minorHAnsi" w:cstheme="minorHAnsi"/>
          <w:b w:val="0"/>
          <w:bCs/>
          <w:sz w:val="22"/>
          <w:szCs w:val="22"/>
          <w:lang w:eastAsia="fr-FR"/>
        </w:rPr>
      </w:pPr>
      <w:r w:rsidRPr="007706CC">
        <w:rPr>
          <w:rFonts w:asciiTheme="minorHAnsi" w:hAnsiTheme="minorHAnsi" w:cstheme="minorHAnsi"/>
          <w:bCs/>
          <w:sz w:val="22"/>
          <w:szCs w:val="22"/>
          <w:lang w:eastAsia="fr-FR"/>
        </w:rPr>
        <w:t>TN to NTN</w:t>
      </w:r>
    </w:p>
    <w:p w14:paraId="275BAC0E" w14:textId="77777777" w:rsidR="00E84FD6" w:rsidRDefault="00E84FD6" w:rsidP="00E84FD6">
      <w:pPr>
        <w:pStyle w:val="TH"/>
        <w:numPr>
          <w:ilvl w:val="0"/>
          <w:numId w:val="57"/>
        </w:numPr>
        <w:jc w:val="both"/>
        <w:rPr>
          <w:rFonts w:asciiTheme="minorHAnsi" w:hAnsiTheme="minorHAnsi" w:cstheme="minorHAnsi"/>
          <w:b w:val="0"/>
          <w:bCs/>
          <w:sz w:val="22"/>
          <w:szCs w:val="22"/>
          <w:lang w:eastAsia="fr-FR"/>
        </w:rPr>
      </w:pPr>
      <w:r w:rsidRPr="007706CC">
        <w:rPr>
          <w:rFonts w:asciiTheme="minorHAnsi" w:hAnsiTheme="minorHAnsi" w:cstheme="minorHAnsi"/>
          <w:bCs/>
          <w:sz w:val="22"/>
          <w:szCs w:val="22"/>
          <w:lang w:eastAsia="fr-FR"/>
        </w:rPr>
        <w:t>NTN to TN</w:t>
      </w:r>
    </w:p>
    <w:p w14:paraId="02E452AE" w14:textId="77777777" w:rsidR="00E84FD6" w:rsidRPr="00E81A5A" w:rsidRDefault="00E84FD6" w:rsidP="00E84FD6">
      <w:pPr>
        <w:pStyle w:val="TH"/>
        <w:numPr>
          <w:ilvl w:val="0"/>
          <w:numId w:val="57"/>
        </w:numPr>
        <w:jc w:val="both"/>
        <w:rPr>
          <w:rFonts w:asciiTheme="minorHAnsi" w:hAnsiTheme="minorHAnsi" w:cstheme="minorHAnsi"/>
          <w:b w:val="0"/>
          <w:bCs/>
          <w:sz w:val="22"/>
          <w:szCs w:val="22"/>
          <w:lang w:eastAsia="fr-FR"/>
        </w:rPr>
      </w:pPr>
      <w:r>
        <w:rPr>
          <w:rFonts w:asciiTheme="minorHAnsi" w:hAnsiTheme="minorHAnsi" w:cstheme="minorHAnsi"/>
          <w:bCs/>
          <w:sz w:val="22"/>
          <w:szCs w:val="22"/>
          <w:lang w:eastAsia="fr-FR"/>
        </w:rPr>
        <w:t xml:space="preserve">NTN </w:t>
      </w:r>
      <w:r>
        <w:rPr>
          <w:rFonts w:asciiTheme="minorHAnsi" w:hAnsiTheme="minorHAnsi" w:cstheme="minorHAnsi"/>
          <w:b w:val="0"/>
          <w:bCs/>
          <w:sz w:val="22"/>
          <w:szCs w:val="22"/>
          <w:lang w:eastAsia="fr-FR"/>
        </w:rPr>
        <w:t>-</w:t>
      </w:r>
      <w:r w:rsidRPr="007706CC">
        <w:rPr>
          <w:rFonts w:asciiTheme="minorHAnsi" w:hAnsiTheme="minorHAnsi" w:cstheme="minorHAnsi"/>
          <w:bCs/>
          <w:sz w:val="22"/>
          <w:szCs w:val="22"/>
          <w:lang w:eastAsia="fr-FR"/>
        </w:rPr>
        <w:t xml:space="preserve"> NTN</w:t>
      </w:r>
    </w:p>
    <w:p w14:paraId="0C449C87" w14:textId="77777777" w:rsidR="00893D10" w:rsidRDefault="00893D10" w:rsidP="00E9252C">
      <w:pPr>
        <w:pStyle w:val="TH"/>
        <w:jc w:val="both"/>
        <w:rPr>
          <w:rFonts w:asciiTheme="minorHAnsi" w:hAnsiTheme="minorHAnsi" w:cstheme="minorHAnsi"/>
          <w:b w:val="0"/>
          <w:bCs/>
          <w:sz w:val="22"/>
          <w:szCs w:val="22"/>
          <w:lang w:eastAsia="fr-FR"/>
        </w:rPr>
      </w:pPr>
      <w:r>
        <w:rPr>
          <w:rFonts w:asciiTheme="minorHAnsi" w:hAnsiTheme="minorHAnsi" w:cstheme="minorHAnsi"/>
          <w:b w:val="0"/>
          <w:bCs/>
          <w:sz w:val="22"/>
          <w:szCs w:val="22"/>
          <w:lang w:eastAsia="fr-FR"/>
        </w:rPr>
        <w:t>However, NTN-NTN coexistence scenarios are largely well-documented by ITU-R radio regulations.  Furthermore, NTN-NTN coexistence scenarios involve almost exclusively co-channel coexistence, so they should be deprioritised.</w:t>
      </w:r>
    </w:p>
    <w:p w14:paraId="3F35AD2E" w14:textId="614E2BD8" w:rsidR="00893D10" w:rsidRDefault="00893D10" w:rsidP="00E9252C">
      <w:pPr>
        <w:pStyle w:val="TH"/>
        <w:jc w:val="both"/>
        <w:rPr>
          <w:rFonts w:asciiTheme="minorHAnsi" w:hAnsiTheme="minorHAnsi" w:cstheme="minorHAnsi"/>
          <w:b w:val="0"/>
          <w:bCs/>
          <w:sz w:val="22"/>
          <w:szCs w:val="22"/>
          <w:lang w:eastAsia="fr-FR"/>
        </w:rPr>
      </w:pPr>
      <w:r>
        <w:rPr>
          <w:rFonts w:asciiTheme="minorHAnsi" w:hAnsiTheme="minorHAnsi" w:cstheme="minorHAnsi"/>
          <w:b w:val="0"/>
          <w:bCs/>
          <w:sz w:val="22"/>
          <w:szCs w:val="22"/>
          <w:lang w:eastAsia="fr-FR"/>
        </w:rPr>
        <w:t>Coexistence scenarios TN to NTN and NTN to TN in adjacent bands are further represented in Figure 2.</w:t>
      </w:r>
    </w:p>
    <w:p w14:paraId="094188C9" w14:textId="77777777" w:rsidR="00E84FD6" w:rsidRPr="00672135" w:rsidRDefault="00E84FD6" w:rsidP="00E9252C">
      <w:pPr>
        <w:jc w:val="both"/>
      </w:pPr>
    </w:p>
    <w:p w14:paraId="32292B5C" w14:textId="77777777" w:rsidR="003506B3" w:rsidRDefault="003506B3" w:rsidP="00E9252C">
      <w:pPr>
        <w:pStyle w:val="TH"/>
        <w:rPr>
          <w:rFonts w:asciiTheme="minorHAnsi" w:hAnsiTheme="minorHAnsi" w:cstheme="minorHAnsi"/>
          <w:b w:val="0"/>
          <w:bCs/>
          <w:sz w:val="22"/>
          <w:szCs w:val="22"/>
          <w:lang w:eastAsia="fr-FR"/>
        </w:rPr>
      </w:pPr>
    </w:p>
    <w:p w14:paraId="707145EE" w14:textId="77777777" w:rsidR="00D56C0F" w:rsidRDefault="00D56C0F" w:rsidP="00E9252C">
      <w:pPr>
        <w:pStyle w:val="TH"/>
        <w:rPr>
          <w:rFonts w:asciiTheme="minorHAnsi" w:hAnsiTheme="minorHAnsi" w:cstheme="minorHAnsi"/>
          <w:b w:val="0"/>
          <w:bCs/>
          <w:sz w:val="22"/>
          <w:szCs w:val="22"/>
          <w:lang w:eastAsia="fr-FR"/>
        </w:rPr>
      </w:pPr>
      <w:r>
        <w:rPr>
          <w:rFonts w:cs="Arial"/>
          <w:noProof/>
          <w:color w:val="1F497D"/>
          <w:lang w:val="fr-FR" w:eastAsia="fr-FR"/>
        </w:rPr>
        <w:drawing>
          <wp:inline distT="0" distB="0" distL="0" distR="0" wp14:anchorId="786E5617" wp14:editId="08F427F4">
            <wp:extent cx="5723890" cy="3580361"/>
            <wp:effectExtent l="19050" t="19050" r="10160" b="20320"/>
            <wp:docPr id="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30293" cy="3584366"/>
                    </a:xfrm>
                    <a:prstGeom prst="rect">
                      <a:avLst/>
                    </a:prstGeom>
                    <a:noFill/>
                    <a:ln>
                      <a:solidFill>
                        <a:srgbClr val="CC9900"/>
                      </a:solidFill>
                    </a:ln>
                  </pic:spPr>
                </pic:pic>
              </a:graphicData>
            </a:graphic>
          </wp:inline>
        </w:drawing>
      </w:r>
    </w:p>
    <w:p w14:paraId="4494AFAD" w14:textId="77777777" w:rsidR="00E84FD6" w:rsidRPr="00E9252C" w:rsidRDefault="00893D10" w:rsidP="00E9252C">
      <w:pPr>
        <w:pStyle w:val="TH"/>
        <w:rPr>
          <w:rFonts w:asciiTheme="minorHAnsi" w:hAnsiTheme="minorHAnsi" w:cstheme="minorHAnsi"/>
          <w:sz w:val="22"/>
          <w:szCs w:val="22"/>
          <w:lang w:eastAsia="fr-FR"/>
        </w:rPr>
      </w:pPr>
      <w:r w:rsidRPr="00E9252C">
        <w:rPr>
          <w:rFonts w:asciiTheme="minorHAnsi" w:hAnsiTheme="minorHAnsi" w:cstheme="minorHAnsi"/>
          <w:sz w:val="22"/>
          <w:szCs w:val="22"/>
          <w:lang w:eastAsia="fr-FR"/>
        </w:rPr>
        <w:t xml:space="preserve">Figure 2. </w:t>
      </w:r>
      <w:r w:rsidR="00E84FD6" w:rsidRPr="00E9252C">
        <w:rPr>
          <w:rFonts w:asciiTheme="minorHAnsi" w:hAnsiTheme="minorHAnsi" w:cstheme="minorHAnsi"/>
          <w:sz w:val="22"/>
          <w:szCs w:val="22"/>
          <w:lang w:eastAsia="fr-FR"/>
        </w:rPr>
        <w:t>Different interference scenarios in Ka adjacent bands between NTN 5G NR and TN 5G NR</w:t>
      </w:r>
    </w:p>
    <w:p w14:paraId="17244F33" w14:textId="66C0E6D1" w:rsidR="003506B3" w:rsidRDefault="00893D10" w:rsidP="007C1DD9">
      <w:pPr>
        <w:pStyle w:val="TH"/>
        <w:jc w:val="left"/>
        <w:rPr>
          <w:rFonts w:asciiTheme="minorHAnsi" w:hAnsiTheme="minorHAnsi" w:cstheme="minorHAnsi"/>
          <w:b w:val="0"/>
          <w:bCs/>
          <w:sz w:val="22"/>
          <w:szCs w:val="22"/>
          <w:lang w:eastAsia="fr-FR"/>
        </w:rPr>
      </w:pPr>
      <w:r>
        <w:rPr>
          <w:rFonts w:asciiTheme="minorHAnsi" w:hAnsiTheme="minorHAnsi" w:cstheme="minorHAnsi"/>
          <w:b w:val="0"/>
          <w:bCs/>
          <w:sz w:val="22"/>
          <w:szCs w:val="22"/>
          <w:lang w:eastAsia="fr-FR"/>
        </w:rPr>
        <w:t xml:space="preserve">As </w:t>
      </w:r>
      <w:r w:rsidR="00F20A10">
        <w:rPr>
          <w:rFonts w:asciiTheme="minorHAnsi" w:hAnsiTheme="minorHAnsi" w:cstheme="minorHAnsi"/>
          <w:b w:val="0"/>
          <w:bCs/>
          <w:sz w:val="22"/>
          <w:szCs w:val="22"/>
          <w:lang w:eastAsia="fr-FR"/>
        </w:rPr>
        <w:t xml:space="preserve">illustrated </w:t>
      </w:r>
      <w:r>
        <w:rPr>
          <w:rFonts w:asciiTheme="minorHAnsi" w:hAnsiTheme="minorHAnsi" w:cstheme="minorHAnsi"/>
          <w:b w:val="0"/>
          <w:bCs/>
          <w:sz w:val="22"/>
          <w:szCs w:val="22"/>
          <w:lang w:eastAsia="fr-FR"/>
        </w:rPr>
        <w:t>in Figure 2, t</w:t>
      </w:r>
      <w:r w:rsidR="003506B3">
        <w:rPr>
          <w:rFonts w:asciiTheme="minorHAnsi" w:hAnsiTheme="minorHAnsi" w:cstheme="minorHAnsi"/>
          <w:b w:val="0"/>
          <w:bCs/>
          <w:sz w:val="22"/>
          <w:szCs w:val="22"/>
          <w:lang w:eastAsia="fr-FR"/>
        </w:rPr>
        <w:t>he interference scenarios</w:t>
      </w:r>
      <w:r w:rsidR="00531BCD">
        <w:rPr>
          <w:rFonts w:asciiTheme="minorHAnsi" w:hAnsiTheme="minorHAnsi" w:cstheme="minorHAnsi"/>
          <w:b w:val="0"/>
          <w:bCs/>
          <w:sz w:val="22"/>
          <w:szCs w:val="22"/>
          <w:lang w:eastAsia="fr-FR"/>
        </w:rPr>
        <w:t xml:space="preserve"> in adjacent bands</w:t>
      </w:r>
      <w:r w:rsidR="003506B3">
        <w:rPr>
          <w:rFonts w:asciiTheme="minorHAnsi" w:hAnsiTheme="minorHAnsi" w:cstheme="minorHAnsi"/>
          <w:b w:val="0"/>
          <w:bCs/>
          <w:sz w:val="22"/>
          <w:szCs w:val="22"/>
          <w:lang w:eastAsia="fr-FR"/>
        </w:rPr>
        <w:t xml:space="preserve"> are identified as follows:</w:t>
      </w:r>
    </w:p>
    <w:p w14:paraId="66FF18B7" w14:textId="77777777" w:rsidR="00531BCD" w:rsidRPr="0025426A" w:rsidRDefault="00531BCD" w:rsidP="00E9252C">
      <w:pPr>
        <w:pStyle w:val="TH"/>
        <w:numPr>
          <w:ilvl w:val="0"/>
          <w:numId w:val="61"/>
        </w:numPr>
        <w:jc w:val="left"/>
        <w:rPr>
          <w:rFonts w:asciiTheme="minorHAnsi" w:hAnsiTheme="minorHAnsi" w:cstheme="minorHAnsi"/>
          <w:bCs/>
          <w:sz w:val="22"/>
          <w:szCs w:val="22"/>
          <w:lang w:val="fr-FR" w:eastAsia="fr-FR"/>
        </w:rPr>
      </w:pPr>
      <w:r w:rsidRPr="0025426A">
        <w:rPr>
          <w:rFonts w:asciiTheme="minorHAnsi" w:hAnsiTheme="minorHAnsi" w:cstheme="minorHAnsi"/>
          <w:b w:val="0"/>
          <w:bCs/>
          <w:sz w:val="22"/>
          <w:szCs w:val="22"/>
          <w:lang w:eastAsia="fr-FR"/>
        </w:rPr>
        <w:t>i</w:t>
      </w:r>
      <w:r w:rsidR="003506B3" w:rsidRPr="00157B57">
        <w:rPr>
          <w:rFonts w:asciiTheme="minorHAnsi" w:hAnsiTheme="minorHAnsi" w:cstheme="minorHAnsi"/>
          <w:b w:val="0"/>
          <w:bCs/>
          <w:sz w:val="22"/>
          <w:szCs w:val="22"/>
          <w:lang w:eastAsia="fr-FR"/>
        </w:rPr>
        <w:t>1</w:t>
      </w:r>
      <w:r w:rsidRPr="0025426A">
        <w:rPr>
          <w:rFonts w:asciiTheme="minorHAnsi" w:hAnsiTheme="minorHAnsi" w:cstheme="minorHAnsi"/>
          <w:b w:val="0"/>
          <w:bCs/>
          <w:sz w:val="22"/>
          <w:szCs w:val="22"/>
          <w:lang w:eastAsia="fr-FR"/>
        </w:rPr>
        <w:t xml:space="preserve">: </w:t>
      </w:r>
      <w:r w:rsidR="00067F85" w:rsidRPr="0025426A">
        <w:rPr>
          <w:rFonts w:asciiTheme="minorHAnsi" w:hAnsiTheme="minorHAnsi" w:cstheme="minorHAnsi"/>
          <w:b w:val="0"/>
          <w:sz w:val="22"/>
          <w:szCs w:val="22"/>
          <w:lang w:eastAsia="fr-FR"/>
        </w:rPr>
        <w:t xml:space="preserve">DL TN </w:t>
      </w:r>
      <w:r w:rsidRPr="0025426A">
        <w:rPr>
          <w:rFonts w:asciiTheme="minorHAnsi" w:hAnsiTheme="minorHAnsi" w:cstheme="minorHAnsi"/>
          <w:b w:val="0"/>
          <w:sz w:val="22"/>
          <w:szCs w:val="22"/>
          <w:lang w:eastAsia="fr-FR"/>
        </w:rPr>
        <w:t>5G NR to</w:t>
      </w:r>
      <w:r w:rsidR="00067F85" w:rsidRPr="0025426A">
        <w:rPr>
          <w:rFonts w:asciiTheme="minorHAnsi" w:hAnsiTheme="minorHAnsi" w:cstheme="minorHAnsi"/>
          <w:b w:val="0"/>
          <w:sz w:val="22"/>
          <w:szCs w:val="22"/>
          <w:lang w:eastAsia="fr-FR"/>
        </w:rPr>
        <w:t xml:space="preserve"> UL NTN</w:t>
      </w:r>
      <w:r w:rsidRPr="0025426A">
        <w:rPr>
          <w:rFonts w:asciiTheme="minorHAnsi" w:hAnsiTheme="minorHAnsi" w:cstheme="minorHAnsi"/>
          <w:b w:val="0"/>
          <w:sz w:val="22"/>
          <w:szCs w:val="22"/>
          <w:lang w:eastAsia="fr-FR"/>
        </w:rPr>
        <w:t xml:space="preserve"> 5G NR</w:t>
      </w:r>
    </w:p>
    <w:p w14:paraId="6363FF5E" w14:textId="77777777" w:rsidR="00531BCD" w:rsidRPr="0025426A" w:rsidRDefault="00531BCD" w:rsidP="00E9252C">
      <w:pPr>
        <w:pStyle w:val="TH"/>
        <w:numPr>
          <w:ilvl w:val="0"/>
          <w:numId w:val="61"/>
        </w:numPr>
        <w:jc w:val="left"/>
        <w:rPr>
          <w:rFonts w:asciiTheme="minorHAnsi" w:hAnsiTheme="minorHAnsi" w:cstheme="minorHAnsi"/>
          <w:bCs/>
          <w:sz w:val="22"/>
          <w:szCs w:val="22"/>
          <w:lang w:val="fr-FR" w:eastAsia="fr-FR"/>
        </w:rPr>
      </w:pPr>
      <w:r w:rsidRPr="00157B57">
        <w:rPr>
          <w:rFonts w:asciiTheme="minorHAnsi" w:hAnsiTheme="minorHAnsi" w:cstheme="minorHAnsi"/>
          <w:b w:val="0"/>
          <w:bCs/>
          <w:sz w:val="22"/>
          <w:szCs w:val="22"/>
          <w:lang w:eastAsia="fr-FR"/>
        </w:rPr>
        <w:t>i</w:t>
      </w:r>
      <w:r w:rsidR="003506B3" w:rsidRPr="00157B57">
        <w:rPr>
          <w:rFonts w:asciiTheme="minorHAnsi" w:hAnsiTheme="minorHAnsi" w:cstheme="minorHAnsi"/>
          <w:b w:val="0"/>
          <w:bCs/>
          <w:sz w:val="22"/>
          <w:szCs w:val="22"/>
          <w:lang w:eastAsia="fr-FR"/>
        </w:rPr>
        <w:t>2</w:t>
      </w:r>
      <w:r w:rsidRPr="00A05FF7">
        <w:rPr>
          <w:rFonts w:asciiTheme="minorHAnsi" w:hAnsiTheme="minorHAnsi" w:cstheme="minorHAnsi"/>
          <w:b w:val="0"/>
          <w:bCs/>
          <w:sz w:val="22"/>
          <w:szCs w:val="22"/>
          <w:lang w:eastAsia="fr-FR"/>
        </w:rPr>
        <w:t xml:space="preserve">: </w:t>
      </w:r>
      <w:r w:rsidR="00067F85" w:rsidRPr="0025426A">
        <w:rPr>
          <w:rFonts w:asciiTheme="minorHAnsi" w:hAnsiTheme="minorHAnsi" w:cstheme="minorHAnsi"/>
          <w:b w:val="0"/>
          <w:sz w:val="22"/>
          <w:szCs w:val="22"/>
          <w:lang w:eastAsia="fr-FR"/>
        </w:rPr>
        <w:t xml:space="preserve">UL NTN </w:t>
      </w:r>
      <w:r w:rsidRPr="0025426A">
        <w:rPr>
          <w:rFonts w:asciiTheme="minorHAnsi" w:hAnsiTheme="minorHAnsi" w:cstheme="minorHAnsi"/>
          <w:b w:val="0"/>
          <w:sz w:val="22"/>
          <w:szCs w:val="22"/>
          <w:lang w:eastAsia="fr-FR"/>
        </w:rPr>
        <w:t>5G NR to</w:t>
      </w:r>
      <w:r w:rsidR="00067F85" w:rsidRPr="0025426A">
        <w:rPr>
          <w:rFonts w:asciiTheme="minorHAnsi" w:hAnsiTheme="minorHAnsi" w:cstheme="minorHAnsi"/>
          <w:b w:val="0"/>
          <w:sz w:val="22"/>
          <w:szCs w:val="22"/>
          <w:lang w:eastAsia="fr-FR"/>
        </w:rPr>
        <w:t xml:space="preserve"> DL TN</w:t>
      </w:r>
      <w:r w:rsidRPr="0025426A">
        <w:rPr>
          <w:rFonts w:asciiTheme="minorHAnsi" w:hAnsiTheme="minorHAnsi" w:cstheme="minorHAnsi"/>
          <w:b w:val="0"/>
          <w:sz w:val="22"/>
          <w:szCs w:val="22"/>
          <w:lang w:eastAsia="fr-FR"/>
        </w:rPr>
        <w:t xml:space="preserve"> 5G NR</w:t>
      </w:r>
    </w:p>
    <w:p w14:paraId="0E489FA7" w14:textId="77777777" w:rsidR="00531BCD" w:rsidRPr="00157B57" w:rsidRDefault="00531BCD" w:rsidP="00E9252C">
      <w:pPr>
        <w:pStyle w:val="TH"/>
        <w:numPr>
          <w:ilvl w:val="0"/>
          <w:numId w:val="61"/>
        </w:numPr>
        <w:jc w:val="left"/>
        <w:rPr>
          <w:rFonts w:asciiTheme="minorHAnsi" w:hAnsiTheme="minorHAnsi" w:cstheme="minorHAnsi"/>
          <w:b w:val="0"/>
          <w:bCs/>
          <w:sz w:val="22"/>
          <w:szCs w:val="22"/>
          <w:lang w:eastAsia="fr-FR"/>
        </w:rPr>
      </w:pPr>
      <w:r w:rsidRPr="00157B57">
        <w:rPr>
          <w:rFonts w:asciiTheme="minorHAnsi" w:hAnsiTheme="minorHAnsi" w:cstheme="minorHAnsi"/>
          <w:b w:val="0"/>
          <w:bCs/>
          <w:sz w:val="22"/>
          <w:szCs w:val="22"/>
          <w:lang w:eastAsia="fr-FR"/>
        </w:rPr>
        <w:t>i</w:t>
      </w:r>
      <w:r w:rsidR="003506B3" w:rsidRPr="00157B57">
        <w:rPr>
          <w:rFonts w:asciiTheme="minorHAnsi" w:hAnsiTheme="minorHAnsi" w:cstheme="minorHAnsi"/>
          <w:b w:val="0"/>
          <w:bCs/>
          <w:sz w:val="22"/>
          <w:szCs w:val="22"/>
          <w:lang w:eastAsia="fr-FR"/>
        </w:rPr>
        <w:t>3</w:t>
      </w:r>
      <w:r w:rsidRPr="00A05FF7">
        <w:rPr>
          <w:rFonts w:asciiTheme="minorHAnsi" w:hAnsiTheme="minorHAnsi" w:cstheme="minorHAnsi"/>
          <w:b w:val="0"/>
          <w:bCs/>
          <w:sz w:val="22"/>
          <w:szCs w:val="22"/>
          <w:lang w:eastAsia="fr-FR"/>
        </w:rPr>
        <w:t xml:space="preserve">: </w:t>
      </w:r>
      <w:r w:rsidR="00067F85" w:rsidRPr="0025426A">
        <w:rPr>
          <w:rFonts w:asciiTheme="minorHAnsi" w:hAnsiTheme="minorHAnsi" w:cstheme="minorHAnsi"/>
          <w:b w:val="0"/>
          <w:bCs/>
          <w:sz w:val="22"/>
          <w:szCs w:val="22"/>
          <w:lang w:eastAsia="fr-FR"/>
        </w:rPr>
        <w:t xml:space="preserve">UL NTN </w:t>
      </w:r>
      <w:r w:rsidRPr="0025426A">
        <w:rPr>
          <w:rFonts w:asciiTheme="minorHAnsi" w:hAnsiTheme="minorHAnsi" w:cstheme="minorHAnsi"/>
          <w:b w:val="0"/>
          <w:bCs/>
          <w:sz w:val="22"/>
          <w:szCs w:val="22"/>
          <w:lang w:eastAsia="fr-FR"/>
        </w:rPr>
        <w:t>5G NR to</w:t>
      </w:r>
      <w:r w:rsidR="00067F85" w:rsidRPr="0025426A">
        <w:rPr>
          <w:rFonts w:asciiTheme="minorHAnsi" w:hAnsiTheme="minorHAnsi" w:cstheme="minorHAnsi"/>
          <w:b w:val="0"/>
          <w:bCs/>
          <w:sz w:val="22"/>
          <w:szCs w:val="22"/>
          <w:lang w:eastAsia="fr-FR"/>
        </w:rPr>
        <w:t xml:space="preserve"> UL TN</w:t>
      </w:r>
      <w:r w:rsidRPr="0025426A">
        <w:rPr>
          <w:rFonts w:asciiTheme="minorHAnsi" w:hAnsiTheme="minorHAnsi" w:cstheme="minorHAnsi"/>
          <w:b w:val="0"/>
          <w:bCs/>
          <w:sz w:val="22"/>
          <w:szCs w:val="22"/>
          <w:lang w:eastAsia="fr-FR"/>
        </w:rPr>
        <w:t xml:space="preserve"> 5G NR</w:t>
      </w:r>
    </w:p>
    <w:p w14:paraId="13218FBB" w14:textId="77777777" w:rsidR="00531BCD" w:rsidRPr="0025426A" w:rsidRDefault="003506B3" w:rsidP="00E9252C">
      <w:pPr>
        <w:pStyle w:val="TH"/>
        <w:numPr>
          <w:ilvl w:val="0"/>
          <w:numId w:val="61"/>
        </w:numPr>
        <w:jc w:val="left"/>
        <w:rPr>
          <w:rStyle w:val="CommentReference"/>
          <w:rFonts w:asciiTheme="minorHAnsi" w:hAnsiTheme="minorHAnsi" w:cstheme="minorHAnsi"/>
          <w:bCs/>
          <w:sz w:val="22"/>
          <w:szCs w:val="22"/>
          <w:lang w:eastAsia="fr-FR"/>
        </w:rPr>
      </w:pPr>
      <w:r w:rsidRPr="0025426A">
        <w:rPr>
          <w:rFonts w:asciiTheme="minorHAnsi" w:hAnsiTheme="minorHAnsi" w:cstheme="minorHAnsi"/>
          <w:b w:val="0"/>
          <w:bCs/>
          <w:sz w:val="22"/>
          <w:szCs w:val="22"/>
          <w:lang w:eastAsia="fr-FR"/>
        </w:rPr>
        <w:t>(</w:t>
      </w:r>
      <w:r w:rsidR="00531BCD" w:rsidRPr="0025426A">
        <w:rPr>
          <w:rFonts w:asciiTheme="minorHAnsi" w:hAnsiTheme="minorHAnsi" w:cstheme="minorHAnsi"/>
          <w:b w:val="0"/>
          <w:bCs/>
          <w:sz w:val="22"/>
          <w:szCs w:val="22"/>
          <w:lang w:eastAsia="fr-FR"/>
        </w:rPr>
        <w:t>i</w:t>
      </w:r>
      <w:r w:rsidRPr="0025426A">
        <w:rPr>
          <w:rFonts w:asciiTheme="minorHAnsi" w:hAnsiTheme="minorHAnsi" w:cstheme="minorHAnsi"/>
          <w:b w:val="0"/>
          <w:bCs/>
          <w:sz w:val="22"/>
          <w:szCs w:val="22"/>
          <w:lang w:eastAsia="fr-FR"/>
        </w:rPr>
        <w:t>4)</w:t>
      </w:r>
      <w:r w:rsidR="00531BCD" w:rsidRPr="0025426A">
        <w:rPr>
          <w:rFonts w:asciiTheme="minorHAnsi" w:hAnsiTheme="minorHAnsi" w:cstheme="minorHAnsi"/>
          <w:b w:val="0"/>
          <w:bCs/>
          <w:sz w:val="22"/>
          <w:szCs w:val="22"/>
          <w:lang w:eastAsia="fr-FR"/>
        </w:rPr>
        <w:t>: UL TN 5G NR to UL NTN 5G NR</w:t>
      </w:r>
    </w:p>
    <w:p w14:paraId="0993A60B" w14:textId="77777777" w:rsidR="00531BCD" w:rsidRPr="00E9252C" w:rsidRDefault="00531BCD" w:rsidP="00E9252C">
      <w:pPr>
        <w:pStyle w:val="TH"/>
        <w:jc w:val="both"/>
        <w:rPr>
          <w:rFonts w:asciiTheme="minorHAnsi" w:hAnsiTheme="minorHAnsi" w:cstheme="minorHAnsi"/>
          <w:b w:val="0"/>
          <w:sz w:val="22"/>
          <w:szCs w:val="22"/>
          <w:lang w:eastAsia="fr-FR"/>
        </w:rPr>
      </w:pPr>
      <w:r>
        <w:rPr>
          <w:rFonts w:asciiTheme="minorHAnsi" w:hAnsiTheme="minorHAnsi" w:cstheme="minorHAnsi"/>
          <w:b w:val="0"/>
          <w:sz w:val="22"/>
          <w:szCs w:val="22"/>
          <w:lang w:eastAsia="fr-FR"/>
        </w:rPr>
        <w:t>Please also note that i</w:t>
      </w:r>
      <w:r w:rsidRPr="00E84FD6">
        <w:rPr>
          <w:rFonts w:asciiTheme="minorHAnsi" w:hAnsiTheme="minorHAnsi" w:cstheme="minorHAnsi"/>
          <w:b w:val="0"/>
          <w:sz w:val="22"/>
          <w:szCs w:val="22"/>
          <w:lang w:eastAsia="fr-FR"/>
        </w:rPr>
        <w:t>nterference</w:t>
      </w:r>
      <w:r>
        <w:rPr>
          <w:rFonts w:asciiTheme="minorHAnsi" w:hAnsiTheme="minorHAnsi" w:cstheme="minorHAnsi"/>
          <w:b w:val="0"/>
          <w:sz w:val="22"/>
          <w:szCs w:val="22"/>
          <w:lang w:eastAsia="fr-FR"/>
        </w:rPr>
        <w:t xml:space="preserve"> </w:t>
      </w:r>
      <w:r w:rsidRPr="00E9252C">
        <w:rPr>
          <w:rFonts w:asciiTheme="minorHAnsi" w:hAnsiTheme="minorHAnsi" w:cstheme="minorHAnsi"/>
          <w:b w:val="0"/>
          <w:sz w:val="22"/>
          <w:szCs w:val="22"/>
          <w:lang w:eastAsia="fr-FR"/>
        </w:rPr>
        <w:t xml:space="preserve">types i1 and i2 </w:t>
      </w:r>
      <w:r>
        <w:rPr>
          <w:rFonts w:asciiTheme="minorHAnsi" w:hAnsiTheme="minorHAnsi" w:cstheme="minorHAnsi"/>
          <w:b w:val="0"/>
          <w:sz w:val="22"/>
          <w:szCs w:val="22"/>
          <w:lang w:eastAsia="fr-FR"/>
        </w:rPr>
        <w:t xml:space="preserve">in adjacent bands are </w:t>
      </w:r>
      <w:r w:rsidRPr="00E84FD6">
        <w:rPr>
          <w:rFonts w:asciiTheme="minorHAnsi" w:hAnsiTheme="minorHAnsi" w:cstheme="minorHAnsi"/>
          <w:b w:val="0"/>
          <w:sz w:val="22"/>
          <w:szCs w:val="22"/>
          <w:lang w:val="en-US" w:eastAsia="fr-FR"/>
        </w:rPr>
        <w:t>UL-DL</w:t>
      </w:r>
      <w:r>
        <w:rPr>
          <w:rFonts w:asciiTheme="minorHAnsi" w:hAnsiTheme="minorHAnsi" w:cstheme="minorHAnsi"/>
          <w:b w:val="0"/>
          <w:sz w:val="22"/>
          <w:szCs w:val="22"/>
          <w:lang w:val="en-US" w:eastAsia="fr-FR"/>
        </w:rPr>
        <w:t xml:space="preserve"> (since NTN networks are FDD while TN networks are TDD), while interference types i3 and i4 in adjacent bands are UL-UL.</w:t>
      </w:r>
      <w:r w:rsidR="00ED62E5">
        <w:rPr>
          <w:rFonts w:asciiTheme="minorHAnsi" w:hAnsiTheme="minorHAnsi" w:cstheme="minorHAnsi"/>
          <w:b w:val="0"/>
          <w:sz w:val="22"/>
          <w:szCs w:val="22"/>
          <w:lang w:val="en-US" w:eastAsia="fr-FR"/>
        </w:rPr>
        <w:t xml:space="preserve"> </w:t>
      </w:r>
      <w:r w:rsidR="00ED62E5">
        <w:rPr>
          <w:rFonts w:asciiTheme="minorHAnsi" w:hAnsiTheme="minorHAnsi" w:cstheme="minorHAnsi"/>
          <w:b w:val="0"/>
          <w:sz w:val="22"/>
          <w:szCs w:val="22"/>
          <w:lang w:eastAsia="fr-FR"/>
        </w:rPr>
        <w:t>Moreover, interference type i4 can be further down-scoped from coexistence cases.</w:t>
      </w:r>
    </w:p>
    <w:p w14:paraId="0055B4D0" w14:textId="77777777" w:rsidR="007C1DD9" w:rsidRPr="00E41086" w:rsidRDefault="00531BCD" w:rsidP="00E9252C">
      <w:pPr>
        <w:pStyle w:val="TH"/>
        <w:jc w:val="both"/>
        <w:rPr>
          <w:rFonts w:asciiTheme="minorHAnsi" w:hAnsiTheme="minorHAnsi" w:cstheme="minorHAnsi"/>
          <w:b w:val="0"/>
          <w:sz w:val="22"/>
          <w:szCs w:val="22"/>
          <w:lang w:eastAsia="fr-FR"/>
        </w:rPr>
      </w:pPr>
      <w:r>
        <w:rPr>
          <w:rFonts w:asciiTheme="minorHAnsi" w:hAnsiTheme="minorHAnsi" w:cstheme="minorHAnsi"/>
          <w:bCs/>
          <w:sz w:val="22"/>
          <w:szCs w:val="22"/>
          <w:lang w:eastAsia="fr-FR"/>
        </w:rPr>
        <w:t xml:space="preserve">Observation </w:t>
      </w:r>
      <w:r w:rsidR="00884623" w:rsidRPr="00E9252C">
        <w:rPr>
          <w:rFonts w:asciiTheme="minorHAnsi" w:hAnsiTheme="minorHAnsi" w:cstheme="minorHAnsi"/>
          <w:bCs/>
          <w:sz w:val="22"/>
          <w:szCs w:val="22"/>
          <w:lang w:eastAsia="fr-FR"/>
        </w:rPr>
        <w:t>7</w:t>
      </w:r>
      <w:r w:rsidR="00C37B78" w:rsidRPr="00E9252C">
        <w:rPr>
          <w:rFonts w:asciiTheme="minorHAnsi" w:hAnsiTheme="minorHAnsi" w:cstheme="minorHAnsi"/>
          <w:bCs/>
          <w:sz w:val="22"/>
          <w:szCs w:val="22"/>
          <w:lang w:eastAsia="fr-FR"/>
        </w:rPr>
        <w:t xml:space="preserve">: </w:t>
      </w:r>
      <w:r w:rsidRPr="00E9252C">
        <w:rPr>
          <w:rFonts w:asciiTheme="minorHAnsi" w:hAnsiTheme="minorHAnsi" w:cstheme="minorHAnsi"/>
          <w:bCs/>
          <w:sz w:val="22"/>
          <w:szCs w:val="22"/>
          <w:lang w:eastAsia="fr-FR"/>
        </w:rPr>
        <w:t xml:space="preserve"> </w:t>
      </w:r>
      <w:r w:rsidR="00C37B78" w:rsidRPr="00E41086">
        <w:rPr>
          <w:rFonts w:asciiTheme="minorHAnsi" w:hAnsiTheme="minorHAnsi" w:cstheme="minorHAnsi"/>
          <w:b w:val="0"/>
          <w:sz w:val="22"/>
          <w:szCs w:val="22"/>
          <w:lang w:eastAsia="fr-FR"/>
        </w:rPr>
        <w:t>It can be noted that for FR2, coexistence scenarios will be much simpler than for FR1, because the NTN-TN scenarios for FR2 are limited</w:t>
      </w:r>
      <w:r w:rsidR="007C1DD9" w:rsidRPr="00E41086">
        <w:rPr>
          <w:rFonts w:asciiTheme="minorHAnsi" w:hAnsiTheme="minorHAnsi" w:cstheme="minorHAnsi"/>
          <w:b w:val="0"/>
          <w:sz w:val="22"/>
          <w:szCs w:val="22"/>
          <w:lang w:eastAsia="fr-FR"/>
        </w:rPr>
        <w:t xml:space="preserve"> </w:t>
      </w:r>
      <w:r>
        <w:rPr>
          <w:rFonts w:asciiTheme="minorHAnsi" w:hAnsiTheme="minorHAnsi" w:cstheme="minorHAnsi"/>
          <w:b w:val="0"/>
          <w:sz w:val="22"/>
          <w:szCs w:val="22"/>
          <w:lang w:eastAsia="fr-FR"/>
        </w:rPr>
        <w:t xml:space="preserve">only </w:t>
      </w:r>
      <w:r w:rsidR="007C1DD9" w:rsidRPr="00E41086">
        <w:rPr>
          <w:rFonts w:asciiTheme="minorHAnsi" w:hAnsiTheme="minorHAnsi" w:cstheme="minorHAnsi"/>
          <w:b w:val="0"/>
          <w:sz w:val="22"/>
          <w:szCs w:val="22"/>
          <w:lang w:eastAsia="fr-FR"/>
        </w:rPr>
        <w:t>to i1 (</w:t>
      </w:r>
      <w:r w:rsidR="00067F85" w:rsidRPr="00E9252C">
        <w:rPr>
          <w:rFonts w:asciiTheme="minorHAnsi" w:hAnsiTheme="minorHAnsi" w:cstheme="minorHAnsi"/>
          <w:b w:val="0"/>
          <w:sz w:val="22"/>
          <w:szCs w:val="22"/>
          <w:lang w:eastAsia="fr-FR"/>
        </w:rPr>
        <w:t>DL TN in UL NTN</w:t>
      </w:r>
      <w:r w:rsidR="007C1DD9" w:rsidRPr="00E41086">
        <w:rPr>
          <w:rFonts w:asciiTheme="minorHAnsi" w:hAnsiTheme="minorHAnsi" w:cstheme="minorHAnsi"/>
          <w:b w:val="0"/>
          <w:sz w:val="22"/>
          <w:szCs w:val="22"/>
          <w:lang w:eastAsia="fr-FR"/>
        </w:rPr>
        <w:t>), i2 (</w:t>
      </w:r>
      <w:r w:rsidR="00067F85" w:rsidRPr="00E9252C">
        <w:rPr>
          <w:rFonts w:asciiTheme="minorHAnsi" w:hAnsiTheme="minorHAnsi" w:cstheme="minorHAnsi"/>
          <w:b w:val="0"/>
          <w:sz w:val="22"/>
          <w:szCs w:val="22"/>
          <w:lang w:eastAsia="fr-FR"/>
        </w:rPr>
        <w:t>UL NTN in DL TN</w:t>
      </w:r>
      <w:r w:rsidR="007C1DD9" w:rsidRPr="00E41086">
        <w:rPr>
          <w:rFonts w:asciiTheme="minorHAnsi" w:hAnsiTheme="minorHAnsi" w:cstheme="minorHAnsi"/>
          <w:b w:val="0"/>
          <w:sz w:val="22"/>
          <w:szCs w:val="22"/>
          <w:lang w:eastAsia="fr-FR"/>
        </w:rPr>
        <w:t>), i3 (</w:t>
      </w:r>
      <w:r w:rsidR="00067F85" w:rsidRPr="00E9252C">
        <w:rPr>
          <w:rFonts w:asciiTheme="minorHAnsi" w:hAnsiTheme="minorHAnsi" w:cstheme="minorHAnsi"/>
          <w:b w:val="0"/>
          <w:sz w:val="22"/>
          <w:szCs w:val="22"/>
          <w:lang w:eastAsia="fr-FR"/>
        </w:rPr>
        <w:t>UL NTN in UL TN</w:t>
      </w:r>
      <w:r w:rsidR="007C1DD9" w:rsidRPr="00E41086">
        <w:rPr>
          <w:rFonts w:asciiTheme="minorHAnsi" w:hAnsiTheme="minorHAnsi" w:cstheme="minorHAnsi"/>
          <w:b w:val="0"/>
          <w:sz w:val="22"/>
          <w:szCs w:val="22"/>
          <w:lang w:eastAsia="fr-FR"/>
        </w:rPr>
        <w:t>)</w:t>
      </w:r>
      <w:r w:rsidR="00ED62E5">
        <w:rPr>
          <w:rFonts w:asciiTheme="minorHAnsi" w:hAnsiTheme="minorHAnsi" w:cstheme="minorHAnsi"/>
          <w:b w:val="0"/>
          <w:sz w:val="22"/>
          <w:szCs w:val="22"/>
          <w:lang w:eastAsia="fr-FR"/>
        </w:rPr>
        <w:t>.</w:t>
      </w:r>
    </w:p>
    <w:p w14:paraId="7306479B" w14:textId="77777777" w:rsidR="00BF66C6" w:rsidRPr="007706CC" w:rsidRDefault="007C1DD9" w:rsidP="00E9252C">
      <w:pPr>
        <w:pStyle w:val="TH"/>
        <w:jc w:val="both"/>
        <w:rPr>
          <w:rFonts w:asciiTheme="minorHAnsi" w:hAnsiTheme="minorHAnsi" w:cstheme="minorHAnsi"/>
          <w:bCs/>
          <w:sz w:val="22"/>
          <w:szCs w:val="22"/>
          <w:lang w:eastAsia="fr-FR"/>
        </w:rPr>
      </w:pPr>
      <w:r>
        <w:rPr>
          <w:rFonts w:asciiTheme="minorHAnsi" w:hAnsiTheme="minorHAnsi" w:cstheme="minorHAnsi"/>
          <w:bCs/>
          <w:sz w:val="22"/>
          <w:szCs w:val="22"/>
          <w:lang w:eastAsia="fr-FR"/>
        </w:rPr>
        <w:t>Observation</w:t>
      </w:r>
      <w:r w:rsidR="00884623">
        <w:rPr>
          <w:rFonts w:asciiTheme="minorHAnsi" w:hAnsiTheme="minorHAnsi" w:cstheme="minorHAnsi"/>
          <w:bCs/>
          <w:sz w:val="22"/>
          <w:szCs w:val="22"/>
          <w:lang w:eastAsia="fr-FR"/>
        </w:rPr>
        <w:t xml:space="preserve"> 8</w:t>
      </w:r>
      <w:r>
        <w:rPr>
          <w:rFonts w:asciiTheme="minorHAnsi" w:hAnsiTheme="minorHAnsi" w:cstheme="minorHAnsi"/>
          <w:bCs/>
          <w:sz w:val="22"/>
          <w:szCs w:val="22"/>
          <w:lang w:eastAsia="fr-FR"/>
        </w:rPr>
        <w:t xml:space="preserve">: </w:t>
      </w:r>
      <w:r>
        <w:rPr>
          <w:rFonts w:asciiTheme="minorHAnsi" w:hAnsiTheme="minorHAnsi" w:cstheme="minorHAnsi"/>
          <w:b w:val="0"/>
          <w:bCs/>
          <w:sz w:val="22"/>
          <w:szCs w:val="22"/>
          <w:lang w:eastAsia="fr-FR"/>
        </w:rPr>
        <w:t xml:space="preserve">It </w:t>
      </w:r>
      <w:r w:rsidR="00C37B78">
        <w:rPr>
          <w:rFonts w:asciiTheme="minorHAnsi" w:hAnsiTheme="minorHAnsi" w:cstheme="minorHAnsi"/>
          <w:b w:val="0"/>
          <w:bCs/>
          <w:sz w:val="22"/>
          <w:szCs w:val="22"/>
          <w:lang w:eastAsia="fr-FR"/>
        </w:rPr>
        <w:t xml:space="preserve">should be </w:t>
      </w:r>
      <w:r>
        <w:rPr>
          <w:rFonts w:asciiTheme="minorHAnsi" w:hAnsiTheme="minorHAnsi" w:cstheme="minorHAnsi"/>
          <w:b w:val="0"/>
          <w:bCs/>
          <w:sz w:val="22"/>
          <w:szCs w:val="22"/>
          <w:lang w:eastAsia="fr-FR"/>
        </w:rPr>
        <w:t xml:space="preserve">also </w:t>
      </w:r>
      <w:r w:rsidR="00C37B78">
        <w:rPr>
          <w:rFonts w:asciiTheme="minorHAnsi" w:hAnsiTheme="minorHAnsi" w:cstheme="minorHAnsi"/>
          <w:b w:val="0"/>
          <w:bCs/>
          <w:sz w:val="22"/>
          <w:szCs w:val="22"/>
          <w:lang w:eastAsia="fr-FR"/>
        </w:rPr>
        <w:t>noted that in FR2, all NTN UEs and satellites use highly directional antennas, further simplifying all coexistence scenarios</w:t>
      </w:r>
      <w:r>
        <w:rPr>
          <w:rFonts w:asciiTheme="minorHAnsi" w:hAnsiTheme="minorHAnsi" w:cstheme="minorHAnsi"/>
          <w:b w:val="0"/>
          <w:bCs/>
          <w:sz w:val="22"/>
          <w:szCs w:val="22"/>
          <w:lang w:eastAsia="fr-FR"/>
        </w:rPr>
        <w:t>, and that NTN-NTN coexistence scenarios are almost exclusively based on co-channel coexistence and spatial separation</w:t>
      </w:r>
      <w:r w:rsidR="00C37B78">
        <w:rPr>
          <w:rFonts w:asciiTheme="minorHAnsi" w:hAnsiTheme="minorHAnsi" w:cstheme="minorHAnsi"/>
          <w:b w:val="0"/>
          <w:bCs/>
          <w:sz w:val="22"/>
          <w:szCs w:val="22"/>
          <w:lang w:eastAsia="fr-FR"/>
        </w:rPr>
        <w:t>.</w:t>
      </w:r>
      <w:r>
        <w:rPr>
          <w:rFonts w:asciiTheme="minorHAnsi" w:hAnsiTheme="minorHAnsi" w:cstheme="minorHAnsi"/>
          <w:b w:val="0"/>
          <w:bCs/>
          <w:sz w:val="22"/>
          <w:szCs w:val="22"/>
          <w:lang w:eastAsia="fr-FR"/>
        </w:rPr>
        <w:t xml:space="preserve"> </w:t>
      </w:r>
    </w:p>
    <w:p w14:paraId="52F6006B" w14:textId="77777777" w:rsidR="00E86BE3" w:rsidRDefault="007C1DD9" w:rsidP="00E9252C">
      <w:pPr>
        <w:pStyle w:val="TH"/>
        <w:jc w:val="both"/>
        <w:rPr>
          <w:rFonts w:asciiTheme="minorHAnsi" w:hAnsiTheme="minorHAnsi" w:cstheme="minorHAnsi"/>
          <w:b w:val="0"/>
          <w:bCs/>
          <w:sz w:val="22"/>
          <w:szCs w:val="22"/>
          <w:lang w:eastAsia="fr-FR"/>
        </w:rPr>
      </w:pPr>
      <w:r>
        <w:rPr>
          <w:rFonts w:asciiTheme="minorHAnsi" w:hAnsiTheme="minorHAnsi" w:cstheme="minorHAnsi"/>
          <w:bCs/>
          <w:sz w:val="22"/>
          <w:szCs w:val="22"/>
          <w:lang w:eastAsia="fr-FR"/>
        </w:rPr>
        <w:t>Proposal</w:t>
      </w:r>
      <w:r w:rsidR="00884623">
        <w:rPr>
          <w:rFonts w:asciiTheme="minorHAnsi" w:hAnsiTheme="minorHAnsi" w:cstheme="minorHAnsi"/>
          <w:bCs/>
          <w:sz w:val="22"/>
          <w:szCs w:val="22"/>
          <w:lang w:eastAsia="fr-FR"/>
        </w:rPr>
        <w:t xml:space="preserve"> </w:t>
      </w:r>
      <w:r w:rsidR="00356E56">
        <w:rPr>
          <w:rFonts w:asciiTheme="minorHAnsi" w:hAnsiTheme="minorHAnsi" w:cstheme="minorHAnsi"/>
          <w:bCs/>
          <w:sz w:val="22"/>
          <w:szCs w:val="22"/>
          <w:lang w:eastAsia="fr-FR"/>
        </w:rPr>
        <w:t>7</w:t>
      </w:r>
      <w:r>
        <w:rPr>
          <w:rFonts w:asciiTheme="minorHAnsi" w:hAnsiTheme="minorHAnsi" w:cstheme="minorHAnsi"/>
          <w:bCs/>
          <w:sz w:val="22"/>
          <w:szCs w:val="22"/>
          <w:lang w:eastAsia="fr-FR"/>
        </w:rPr>
        <w:t>:</w:t>
      </w:r>
      <w:r w:rsidR="00ED62E5">
        <w:rPr>
          <w:rFonts w:asciiTheme="minorHAnsi" w:hAnsiTheme="minorHAnsi" w:cstheme="minorHAnsi"/>
          <w:bCs/>
          <w:sz w:val="22"/>
          <w:szCs w:val="22"/>
          <w:lang w:eastAsia="fr-FR"/>
        </w:rPr>
        <w:t xml:space="preserve"> </w:t>
      </w:r>
      <w:r>
        <w:rPr>
          <w:rFonts w:asciiTheme="minorHAnsi" w:hAnsiTheme="minorHAnsi" w:cstheme="minorHAnsi"/>
          <w:b w:val="0"/>
          <w:bCs/>
          <w:sz w:val="22"/>
          <w:szCs w:val="22"/>
          <w:lang w:eastAsia="fr-FR"/>
        </w:rPr>
        <w:t>FR2 coexistence studies could be further down-scoped by deprioritizing NTN</w:t>
      </w:r>
      <w:r w:rsidR="00ED62E5">
        <w:rPr>
          <w:rFonts w:asciiTheme="minorHAnsi" w:hAnsiTheme="minorHAnsi" w:cstheme="minorHAnsi"/>
          <w:b w:val="0"/>
          <w:bCs/>
          <w:sz w:val="22"/>
          <w:szCs w:val="22"/>
          <w:lang w:eastAsia="fr-FR"/>
        </w:rPr>
        <w:t>-</w:t>
      </w:r>
      <w:r>
        <w:rPr>
          <w:rFonts w:asciiTheme="minorHAnsi" w:hAnsiTheme="minorHAnsi" w:cstheme="minorHAnsi"/>
          <w:b w:val="0"/>
          <w:bCs/>
          <w:sz w:val="22"/>
          <w:szCs w:val="22"/>
          <w:lang w:eastAsia="fr-FR"/>
        </w:rPr>
        <w:t xml:space="preserve">NTN coexistence scenarios. </w:t>
      </w:r>
    </w:p>
    <w:p w14:paraId="427ADB84" w14:textId="77777777" w:rsidR="00D56C0F" w:rsidRPr="00CC3760" w:rsidRDefault="00D56C0F" w:rsidP="00E9252C">
      <w:pPr>
        <w:pStyle w:val="TH"/>
        <w:jc w:val="both"/>
        <w:rPr>
          <w:rFonts w:asciiTheme="minorHAnsi" w:hAnsiTheme="minorHAnsi" w:cstheme="minorHAnsi"/>
          <w:b w:val="0"/>
          <w:bCs/>
          <w:sz w:val="22"/>
          <w:szCs w:val="22"/>
          <w:lang w:eastAsia="fr-FR"/>
        </w:rPr>
      </w:pPr>
    </w:p>
    <w:p w14:paraId="7E443E33" w14:textId="77777777" w:rsidR="00EF0CF6" w:rsidRDefault="00373E23" w:rsidP="00CC3760">
      <w:pPr>
        <w:pStyle w:val="Heading4"/>
      </w:pPr>
      <w:r w:rsidRPr="00CC3760">
        <w:t>2.</w:t>
      </w:r>
      <w:r w:rsidR="007E1122">
        <w:t>4</w:t>
      </w:r>
      <w:r w:rsidRPr="00CC3760">
        <w:t>.</w:t>
      </w:r>
      <w:r w:rsidR="00F83E15">
        <w:t>2</w:t>
      </w:r>
      <w:r w:rsidR="00F83E15" w:rsidRPr="00CC3760">
        <w:t xml:space="preserve"> </w:t>
      </w:r>
      <w:r w:rsidR="00632173" w:rsidRPr="00CC3760">
        <w:t xml:space="preserve">Ka-band </w:t>
      </w:r>
      <w:r w:rsidR="002F1EF7">
        <w:t xml:space="preserve">NTN </w:t>
      </w:r>
      <w:r w:rsidR="00632173" w:rsidRPr="00CC3760">
        <w:t xml:space="preserve">UL </w:t>
      </w:r>
      <w:r w:rsidR="002F1EF7">
        <w:t xml:space="preserve">coexistence </w:t>
      </w:r>
      <w:r w:rsidR="00632173" w:rsidRPr="00CC3760">
        <w:t>with terrestrial</w:t>
      </w:r>
      <w:r w:rsidRPr="00CC3760">
        <w:t xml:space="preserve"> </w:t>
      </w:r>
      <w:r w:rsidR="008631D6">
        <w:t>UL and DL</w:t>
      </w:r>
      <w:r w:rsidR="002F1EF7">
        <w:t xml:space="preserve"> in adjacent frequenc</w:t>
      </w:r>
      <w:r w:rsidR="00D56C0F">
        <w:t>y bands</w:t>
      </w:r>
    </w:p>
    <w:p w14:paraId="1B133645" w14:textId="77777777" w:rsidR="00F83E15" w:rsidRPr="00893D10" w:rsidRDefault="00893D10" w:rsidP="00E9252C">
      <w:pPr>
        <w:pStyle w:val="TH"/>
        <w:jc w:val="both"/>
        <w:rPr>
          <w:rFonts w:asciiTheme="minorHAnsi" w:hAnsiTheme="minorHAnsi" w:cstheme="minorHAnsi"/>
          <w:b w:val="0"/>
          <w:bCs/>
          <w:sz w:val="22"/>
          <w:szCs w:val="22"/>
        </w:rPr>
      </w:pPr>
      <w:r>
        <w:rPr>
          <w:rFonts w:asciiTheme="minorHAnsi" w:hAnsiTheme="minorHAnsi" w:cstheme="minorHAnsi"/>
          <w:b w:val="0"/>
          <w:bCs/>
          <w:sz w:val="22"/>
          <w:szCs w:val="22"/>
        </w:rPr>
        <w:t>As represented in both Figure 2 and Figure 3,</w:t>
      </w:r>
      <w:r w:rsidR="00EF0CF6" w:rsidRPr="00893D10">
        <w:rPr>
          <w:rFonts w:asciiTheme="minorHAnsi" w:hAnsiTheme="minorHAnsi" w:cstheme="minorHAnsi"/>
          <w:b w:val="0"/>
          <w:bCs/>
          <w:sz w:val="22"/>
          <w:szCs w:val="22"/>
        </w:rPr>
        <w:t xml:space="preserve"> </w:t>
      </w:r>
      <w:r>
        <w:rPr>
          <w:rFonts w:asciiTheme="minorHAnsi" w:hAnsiTheme="minorHAnsi" w:cstheme="minorHAnsi"/>
          <w:b w:val="0"/>
          <w:bCs/>
          <w:sz w:val="22"/>
          <w:szCs w:val="22"/>
        </w:rPr>
        <w:t xml:space="preserve">the Ka-band NTN </w:t>
      </w:r>
      <w:r w:rsidR="00373E23" w:rsidRPr="00893D10">
        <w:rPr>
          <w:rFonts w:asciiTheme="minorHAnsi" w:hAnsiTheme="minorHAnsi" w:cstheme="minorHAnsi"/>
          <w:b w:val="0"/>
          <w:bCs/>
          <w:sz w:val="22"/>
          <w:szCs w:val="22"/>
        </w:rPr>
        <w:t xml:space="preserve">coexistence </w:t>
      </w:r>
      <w:r>
        <w:rPr>
          <w:rFonts w:asciiTheme="minorHAnsi" w:hAnsiTheme="minorHAnsi" w:cstheme="minorHAnsi"/>
          <w:b w:val="0"/>
          <w:bCs/>
          <w:sz w:val="22"/>
          <w:szCs w:val="22"/>
        </w:rPr>
        <w:t xml:space="preserve">involves coexistence </w:t>
      </w:r>
      <w:r w:rsidR="00373E23" w:rsidRPr="00893D10">
        <w:rPr>
          <w:rFonts w:asciiTheme="minorHAnsi" w:hAnsiTheme="minorHAnsi" w:cstheme="minorHAnsi"/>
          <w:b w:val="0"/>
          <w:bCs/>
          <w:sz w:val="22"/>
          <w:szCs w:val="22"/>
        </w:rPr>
        <w:t>with</w:t>
      </w:r>
      <w:r>
        <w:rPr>
          <w:rFonts w:asciiTheme="minorHAnsi" w:hAnsiTheme="minorHAnsi" w:cstheme="minorHAnsi"/>
          <w:b w:val="0"/>
          <w:bCs/>
          <w:sz w:val="22"/>
          <w:szCs w:val="22"/>
        </w:rPr>
        <w:t xml:space="preserve"> TN </w:t>
      </w:r>
      <w:r w:rsidR="00373E23" w:rsidRPr="00893D10">
        <w:rPr>
          <w:rFonts w:asciiTheme="minorHAnsi" w:hAnsiTheme="minorHAnsi" w:cstheme="minorHAnsi"/>
          <w:b w:val="0"/>
          <w:bCs/>
          <w:sz w:val="22"/>
          <w:szCs w:val="22"/>
        </w:rPr>
        <w:t>n258</w:t>
      </w:r>
      <w:r w:rsidR="00EF0CF6" w:rsidRPr="00893D10">
        <w:rPr>
          <w:rFonts w:asciiTheme="minorHAnsi" w:hAnsiTheme="minorHAnsi" w:cstheme="minorHAnsi"/>
          <w:b w:val="0"/>
          <w:bCs/>
          <w:sz w:val="22"/>
          <w:szCs w:val="22"/>
        </w:rPr>
        <w:t xml:space="preserve"> (24.25 – 27.5 GHz)</w:t>
      </w:r>
      <w:r w:rsidR="00E84FD6" w:rsidRPr="00893D10">
        <w:rPr>
          <w:rFonts w:asciiTheme="minorHAnsi" w:hAnsiTheme="minorHAnsi" w:cstheme="minorHAnsi"/>
          <w:b w:val="0"/>
          <w:bCs/>
          <w:sz w:val="22"/>
          <w:szCs w:val="22"/>
        </w:rPr>
        <w:t>, as follows:</w:t>
      </w:r>
    </w:p>
    <w:p w14:paraId="4B15C5C4" w14:textId="77777777" w:rsidR="00F83E15" w:rsidRPr="00893D10" w:rsidRDefault="00F83E15" w:rsidP="00E9252C">
      <w:pPr>
        <w:pStyle w:val="TH"/>
        <w:numPr>
          <w:ilvl w:val="0"/>
          <w:numId w:val="57"/>
        </w:numPr>
        <w:jc w:val="both"/>
        <w:rPr>
          <w:rFonts w:asciiTheme="minorHAnsi" w:hAnsiTheme="minorHAnsi" w:cstheme="minorHAnsi"/>
          <w:b w:val="0"/>
          <w:bCs/>
          <w:sz w:val="22"/>
          <w:szCs w:val="22"/>
          <w:lang w:eastAsia="fr-FR"/>
        </w:rPr>
      </w:pPr>
      <w:r w:rsidRPr="00893D10">
        <w:rPr>
          <w:rFonts w:asciiTheme="minorHAnsi" w:hAnsiTheme="minorHAnsi" w:cstheme="minorHAnsi"/>
          <w:bCs/>
          <w:sz w:val="22"/>
          <w:szCs w:val="22"/>
          <w:lang w:eastAsia="fr-FR"/>
        </w:rPr>
        <w:t>NTN to TN</w:t>
      </w:r>
      <w:r w:rsidRPr="00893D10">
        <w:rPr>
          <w:rFonts w:asciiTheme="minorHAnsi" w:hAnsiTheme="minorHAnsi" w:cstheme="minorHAnsi"/>
          <w:b w:val="0"/>
          <w:bCs/>
          <w:sz w:val="22"/>
          <w:szCs w:val="22"/>
          <w:lang w:eastAsia="fr-FR"/>
        </w:rPr>
        <w:t xml:space="preserve">: (NTN UE </w:t>
      </w:r>
      <w:r w:rsidR="008631D6" w:rsidRPr="00893D10">
        <w:rPr>
          <w:rFonts w:asciiTheme="minorHAnsi" w:hAnsiTheme="minorHAnsi" w:cstheme="minorHAnsi"/>
          <w:b w:val="0"/>
          <w:bCs/>
          <w:sz w:val="22"/>
          <w:szCs w:val="22"/>
          <w:lang w:eastAsia="fr-FR"/>
        </w:rPr>
        <w:t xml:space="preserve">UL </w:t>
      </w:r>
      <w:r w:rsidRPr="00893D10">
        <w:rPr>
          <w:rFonts w:asciiTheme="minorHAnsi" w:hAnsiTheme="minorHAnsi" w:cstheme="minorHAnsi"/>
          <w:b w:val="0"/>
          <w:bCs/>
          <w:sz w:val="22"/>
          <w:szCs w:val="22"/>
          <w:lang w:eastAsia="fr-FR"/>
        </w:rPr>
        <w:t xml:space="preserve">to TN BS </w:t>
      </w:r>
      <w:r w:rsidR="008631D6" w:rsidRPr="00893D10">
        <w:rPr>
          <w:rFonts w:asciiTheme="minorHAnsi" w:hAnsiTheme="minorHAnsi" w:cstheme="minorHAnsi"/>
          <w:b w:val="0"/>
          <w:bCs/>
          <w:sz w:val="22"/>
          <w:szCs w:val="22"/>
          <w:lang w:eastAsia="fr-FR"/>
        </w:rPr>
        <w:t>DL</w:t>
      </w:r>
      <w:r w:rsidRPr="00893D10">
        <w:rPr>
          <w:rFonts w:asciiTheme="minorHAnsi" w:hAnsiTheme="minorHAnsi" w:cstheme="minorHAnsi"/>
          <w:b w:val="0"/>
          <w:bCs/>
          <w:sz w:val="22"/>
          <w:szCs w:val="22"/>
          <w:lang w:eastAsia="fr-FR"/>
        </w:rPr>
        <w:t xml:space="preserve">) &amp; (NTN UE </w:t>
      </w:r>
      <w:r w:rsidR="008631D6" w:rsidRPr="00893D10">
        <w:rPr>
          <w:rFonts w:asciiTheme="minorHAnsi" w:hAnsiTheme="minorHAnsi" w:cstheme="minorHAnsi"/>
          <w:b w:val="0"/>
          <w:bCs/>
          <w:sz w:val="22"/>
          <w:szCs w:val="22"/>
          <w:lang w:eastAsia="fr-FR"/>
        </w:rPr>
        <w:t xml:space="preserve">UL </w:t>
      </w:r>
      <w:r w:rsidRPr="00893D10">
        <w:rPr>
          <w:rFonts w:asciiTheme="minorHAnsi" w:hAnsiTheme="minorHAnsi" w:cstheme="minorHAnsi"/>
          <w:b w:val="0"/>
          <w:bCs/>
          <w:sz w:val="22"/>
          <w:szCs w:val="22"/>
          <w:lang w:eastAsia="fr-FR"/>
        </w:rPr>
        <w:t xml:space="preserve">to TN UE </w:t>
      </w:r>
      <w:r w:rsidR="008631D6" w:rsidRPr="00893D10">
        <w:rPr>
          <w:rFonts w:asciiTheme="minorHAnsi" w:hAnsiTheme="minorHAnsi" w:cstheme="minorHAnsi"/>
          <w:b w:val="0"/>
          <w:bCs/>
          <w:sz w:val="22"/>
          <w:szCs w:val="22"/>
          <w:lang w:eastAsia="fr-FR"/>
        </w:rPr>
        <w:t>UL</w:t>
      </w:r>
      <w:r w:rsidRPr="00893D10">
        <w:rPr>
          <w:rFonts w:asciiTheme="minorHAnsi" w:hAnsiTheme="minorHAnsi" w:cstheme="minorHAnsi"/>
          <w:b w:val="0"/>
          <w:bCs/>
          <w:sz w:val="22"/>
          <w:szCs w:val="22"/>
          <w:lang w:eastAsia="fr-FR"/>
        </w:rPr>
        <w:t>)</w:t>
      </w:r>
    </w:p>
    <w:p w14:paraId="1D50BBBC" w14:textId="3157BBF6" w:rsidR="003506B3" w:rsidRPr="00E9252C" w:rsidRDefault="008631D6" w:rsidP="00E9252C">
      <w:pPr>
        <w:pStyle w:val="TH"/>
        <w:numPr>
          <w:ilvl w:val="0"/>
          <w:numId w:val="57"/>
        </w:numPr>
        <w:jc w:val="both"/>
        <w:rPr>
          <w:rFonts w:asciiTheme="minorHAnsi" w:hAnsiTheme="minorHAnsi" w:cstheme="minorHAnsi"/>
          <w:b w:val="0"/>
          <w:bCs/>
          <w:sz w:val="22"/>
          <w:szCs w:val="22"/>
        </w:rPr>
      </w:pPr>
      <w:r w:rsidRPr="00893D10">
        <w:rPr>
          <w:rFonts w:asciiTheme="minorHAnsi" w:hAnsiTheme="minorHAnsi" w:cstheme="minorHAnsi"/>
          <w:bCs/>
          <w:sz w:val="22"/>
          <w:szCs w:val="22"/>
          <w:lang w:eastAsia="fr-FR"/>
        </w:rPr>
        <w:t>TN to NTN</w:t>
      </w:r>
      <w:r w:rsidRPr="00893D10">
        <w:rPr>
          <w:rFonts w:asciiTheme="minorHAnsi" w:hAnsiTheme="minorHAnsi" w:cstheme="minorHAnsi"/>
          <w:b w:val="0"/>
          <w:bCs/>
          <w:sz w:val="22"/>
          <w:szCs w:val="22"/>
          <w:lang w:eastAsia="fr-FR"/>
        </w:rPr>
        <w:t>: (TN BS DL to NTN UE UL)</w:t>
      </w:r>
      <w:r w:rsidR="0078028D" w:rsidRPr="00893D10" w:rsidDel="0078028D">
        <w:rPr>
          <w:rFonts w:asciiTheme="minorHAnsi" w:hAnsiTheme="minorHAnsi" w:cstheme="minorHAnsi"/>
          <w:b w:val="0"/>
          <w:bCs/>
          <w:sz w:val="22"/>
          <w:szCs w:val="22"/>
          <w:lang w:eastAsia="fr-FR"/>
        </w:rPr>
        <w:t xml:space="preserve"> </w:t>
      </w:r>
    </w:p>
    <w:p w14:paraId="3D3ED25F" w14:textId="77777777" w:rsidR="00E84FD6" w:rsidRDefault="00E84FD6" w:rsidP="0025426A">
      <w:pPr>
        <w:pStyle w:val="TH"/>
        <w:ind w:left="720"/>
        <w:jc w:val="both"/>
        <w:rPr>
          <w:rFonts w:asciiTheme="minorHAnsi" w:hAnsiTheme="minorHAnsi" w:cstheme="minorHAnsi"/>
          <w:b w:val="0"/>
          <w:bCs/>
          <w:sz w:val="22"/>
          <w:szCs w:val="22"/>
          <w:highlight w:val="yellow"/>
        </w:rPr>
      </w:pPr>
      <w:r>
        <w:rPr>
          <w:noProof/>
          <w:lang w:val="fr-FR" w:eastAsia="fr-FR"/>
        </w:rPr>
        <w:drawing>
          <wp:inline distT="0" distB="0" distL="0" distR="0" wp14:anchorId="0C6F8EFF" wp14:editId="2ECD867C">
            <wp:extent cx="5212080" cy="1097280"/>
            <wp:effectExtent l="0" t="0" r="0" b="7620"/>
            <wp:docPr id="5" name="Image 5" descr="cid:image012.png@01D71715.91193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2.png@01D71715.91193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25285" cy="1100060"/>
                    </a:xfrm>
                    <a:prstGeom prst="rect">
                      <a:avLst/>
                    </a:prstGeom>
                    <a:noFill/>
                    <a:ln>
                      <a:noFill/>
                    </a:ln>
                  </pic:spPr>
                </pic:pic>
              </a:graphicData>
            </a:graphic>
          </wp:inline>
        </w:drawing>
      </w:r>
    </w:p>
    <w:p w14:paraId="2E194D65" w14:textId="77777777" w:rsidR="00E84FD6" w:rsidRPr="00E9252C" w:rsidRDefault="00893D10" w:rsidP="00E9252C">
      <w:pPr>
        <w:pStyle w:val="TH"/>
        <w:rPr>
          <w:rFonts w:asciiTheme="minorHAnsi" w:hAnsiTheme="minorHAnsi" w:cstheme="minorHAnsi"/>
          <w:sz w:val="22"/>
          <w:szCs w:val="22"/>
        </w:rPr>
      </w:pPr>
      <w:r w:rsidRPr="00E9252C">
        <w:rPr>
          <w:rFonts w:asciiTheme="minorHAnsi" w:hAnsiTheme="minorHAnsi" w:cstheme="minorHAnsi"/>
          <w:sz w:val="22"/>
          <w:szCs w:val="22"/>
        </w:rPr>
        <w:t xml:space="preserve">Figure 3. </w:t>
      </w:r>
      <w:r w:rsidR="00E84FD6" w:rsidRPr="00E9252C">
        <w:rPr>
          <w:rFonts w:asciiTheme="minorHAnsi" w:hAnsiTheme="minorHAnsi" w:cstheme="minorHAnsi"/>
          <w:sz w:val="22"/>
          <w:szCs w:val="22"/>
        </w:rPr>
        <w:t>Coexistence in adjacent bands of NTN Ka UL with TN n258</w:t>
      </w:r>
    </w:p>
    <w:p w14:paraId="1BBAEF17" w14:textId="77777777" w:rsidR="00E41086" w:rsidRDefault="00E41086" w:rsidP="00E9252C">
      <w:pPr>
        <w:pStyle w:val="TH"/>
        <w:jc w:val="both"/>
        <w:rPr>
          <w:rFonts w:asciiTheme="minorHAnsi" w:hAnsiTheme="minorHAnsi" w:cstheme="minorHAnsi"/>
          <w:b w:val="0"/>
          <w:bCs/>
          <w:sz w:val="22"/>
          <w:szCs w:val="22"/>
        </w:rPr>
      </w:pPr>
    </w:p>
    <w:p w14:paraId="6D72FF33" w14:textId="77777777" w:rsidR="00F83E15" w:rsidRDefault="00C06550" w:rsidP="00E9252C">
      <w:pPr>
        <w:pStyle w:val="TH"/>
        <w:jc w:val="both"/>
        <w:rPr>
          <w:rFonts w:asciiTheme="minorHAnsi" w:hAnsiTheme="minorHAnsi" w:cstheme="minorHAnsi"/>
          <w:b w:val="0"/>
          <w:bCs/>
          <w:sz w:val="22"/>
          <w:szCs w:val="22"/>
        </w:rPr>
      </w:pPr>
      <w:r>
        <w:rPr>
          <w:rFonts w:asciiTheme="minorHAnsi" w:hAnsiTheme="minorHAnsi" w:cstheme="minorHAnsi"/>
          <w:bCs/>
          <w:sz w:val="22"/>
          <w:szCs w:val="22"/>
        </w:rPr>
        <w:t>Observation</w:t>
      </w:r>
      <w:r w:rsidR="00884623">
        <w:rPr>
          <w:rFonts w:asciiTheme="minorHAnsi" w:hAnsiTheme="minorHAnsi" w:cstheme="minorHAnsi"/>
          <w:bCs/>
          <w:sz w:val="22"/>
          <w:szCs w:val="22"/>
        </w:rPr>
        <w:t xml:space="preserve"> 9</w:t>
      </w:r>
      <w:r>
        <w:rPr>
          <w:rFonts w:asciiTheme="minorHAnsi" w:hAnsiTheme="minorHAnsi" w:cstheme="minorHAnsi"/>
          <w:bCs/>
          <w:sz w:val="22"/>
          <w:szCs w:val="22"/>
        </w:rPr>
        <w:t xml:space="preserve">: </w:t>
      </w:r>
      <w:r>
        <w:rPr>
          <w:rFonts w:asciiTheme="minorHAnsi" w:hAnsiTheme="minorHAnsi" w:cstheme="minorHAnsi"/>
          <w:b w:val="0"/>
          <w:bCs/>
          <w:sz w:val="22"/>
          <w:szCs w:val="22"/>
        </w:rPr>
        <w:t>T</w:t>
      </w:r>
      <w:r w:rsidR="00AA5B34">
        <w:rPr>
          <w:rFonts w:asciiTheme="minorHAnsi" w:hAnsiTheme="minorHAnsi" w:cstheme="minorHAnsi"/>
          <w:b w:val="0"/>
          <w:bCs/>
          <w:sz w:val="22"/>
          <w:szCs w:val="22"/>
        </w:rPr>
        <w:t xml:space="preserve">N Deployments in </w:t>
      </w:r>
      <w:r w:rsidR="00994EDD">
        <w:rPr>
          <w:rFonts w:asciiTheme="minorHAnsi" w:hAnsiTheme="minorHAnsi" w:cstheme="minorHAnsi"/>
          <w:b w:val="0"/>
          <w:bCs/>
          <w:sz w:val="22"/>
          <w:szCs w:val="22"/>
        </w:rPr>
        <w:t>FR2</w:t>
      </w:r>
      <w:r>
        <w:rPr>
          <w:rFonts w:asciiTheme="minorHAnsi" w:hAnsiTheme="minorHAnsi" w:cstheme="minorHAnsi"/>
          <w:b w:val="0"/>
          <w:bCs/>
          <w:sz w:val="22"/>
          <w:szCs w:val="22"/>
        </w:rPr>
        <w:t xml:space="preserve"> are currently limited to Urban scenarios with small cells</w:t>
      </w:r>
      <w:r w:rsidR="004C7C48">
        <w:rPr>
          <w:rFonts w:asciiTheme="minorHAnsi" w:hAnsiTheme="minorHAnsi" w:cstheme="minorHAnsi"/>
          <w:b w:val="0"/>
          <w:bCs/>
          <w:sz w:val="22"/>
          <w:szCs w:val="22"/>
        </w:rPr>
        <w:t>, furthermore, Rural scenario is usually not considered for FR2</w:t>
      </w:r>
      <w:r>
        <w:rPr>
          <w:rFonts w:asciiTheme="minorHAnsi" w:hAnsiTheme="minorHAnsi" w:cstheme="minorHAnsi"/>
          <w:b w:val="0"/>
          <w:bCs/>
          <w:sz w:val="22"/>
          <w:szCs w:val="22"/>
        </w:rPr>
        <w:t xml:space="preserve">. </w:t>
      </w:r>
    </w:p>
    <w:p w14:paraId="6FB52A0E" w14:textId="77777777" w:rsidR="00C06550" w:rsidRDefault="00C06550" w:rsidP="00E9252C">
      <w:pPr>
        <w:pStyle w:val="TH"/>
        <w:jc w:val="both"/>
        <w:rPr>
          <w:rFonts w:asciiTheme="minorHAnsi" w:hAnsiTheme="minorHAnsi" w:cstheme="minorHAnsi"/>
          <w:b w:val="0"/>
          <w:bCs/>
          <w:sz w:val="22"/>
          <w:szCs w:val="22"/>
        </w:rPr>
      </w:pPr>
      <w:r>
        <w:rPr>
          <w:rFonts w:asciiTheme="minorHAnsi" w:hAnsiTheme="minorHAnsi" w:cstheme="minorHAnsi"/>
          <w:bCs/>
          <w:sz w:val="22"/>
          <w:szCs w:val="22"/>
        </w:rPr>
        <w:t>Proposal</w:t>
      </w:r>
      <w:r w:rsidR="00884623">
        <w:rPr>
          <w:rFonts w:asciiTheme="minorHAnsi" w:hAnsiTheme="minorHAnsi" w:cstheme="minorHAnsi"/>
          <w:bCs/>
          <w:sz w:val="22"/>
          <w:szCs w:val="22"/>
        </w:rPr>
        <w:t xml:space="preserve"> </w:t>
      </w:r>
      <w:r w:rsidR="00356E56">
        <w:rPr>
          <w:rFonts w:asciiTheme="minorHAnsi" w:hAnsiTheme="minorHAnsi" w:cstheme="minorHAnsi"/>
          <w:bCs/>
          <w:sz w:val="22"/>
          <w:szCs w:val="22"/>
        </w:rPr>
        <w:t>8</w:t>
      </w:r>
      <w:r>
        <w:rPr>
          <w:rFonts w:asciiTheme="minorHAnsi" w:hAnsiTheme="minorHAnsi" w:cstheme="minorHAnsi"/>
          <w:bCs/>
          <w:sz w:val="22"/>
          <w:szCs w:val="22"/>
        </w:rPr>
        <w:t xml:space="preserve">: </w:t>
      </w:r>
      <w:r w:rsidRPr="007706CC">
        <w:rPr>
          <w:rFonts w:asciiTheme="minorHAnsi" w:hAnsiTheme="minorHAnsi" w:cstheme="minorHAnsi"/>
          <w:b w:val="0"/>
          <w:bCs/>
          <w:sz w:val="22"/>
          <w:szCs w:val="22"/>
        </w:rPr>
        <w:t xml:space="preserve">Rural scenario </w:t>
      </w:r>
      <w:r>
        <w:rPr>
          <w:rFonts w:asciiTheme="minorHAnsi" w:hAnsiTheme="minorHAnsi" w:cstheme="minorHAnsi"/>
          <w:b w:val="0"/>
          <w:bCs/>
          <w:sz w:val="22"/>
          <w:szCs w:val="22"/>
        </w:rPr>
        <w:t>can</w:t>
      </w:r>
      <w:r w:rsidRPr="007706CC">
        <w:rPr>
          <w:rFonts w:asciiTheme="minorHAnsi" w:hAnsiTheme="minorHAnsi" w:cstheme="minorHAnsi"/>
          <w:b w:val="0"/>
          <w:bCs/>
          <w:sz w:val="22"/>
          <w:szCs w:val="22"/>
        </w:rPr>
        <w:t xml:space="preserve"> be removed </w:t>
      </w:r>
      <w:r>
        <w:rPr>
          <w:rFonts w:asciiTheme="minorHAnsi" w:hAnsiTheme="minorHAnsi" w:cstheme="minorHAnsi"/>
          <w:b w:val="0"/>
          <w:bCs/>
          <w:sz w:val="22"/>
          <w:szCs w:val="22"/>
        </w:rPr>
        <w:t>in FR2 NTN-TN</w:t>
      </w:r>
      <w:r w:rsidRPr="007706CC">
        <w:rPr>
          <w:rFonts w:asciiTheme="minorHAnsi" w:hAnsiTheme="minorHAnsi" w:cstheme="minorHAnsi"/>
          <w:b w:val="0"/>
          <w:bCs/>
          <w:sz w:val="22"/>
          <w:szCs w:val="22"/>
        </w:rPr>
        <w:t xml:space="preserve"> coexistence </w:t>
      </w:r>
      <w:r>
        <w:rPr>
          <w:rFonts w:asciiTheme="minorHAnsi" w:hAnsiTheme="minorHAnsi" w:cstheme="minorHAnsi"/>
          <w:b w:val="0"/>
          <w:bCs/>
          <w:sz w:val="22"/>
          <w:szCs w:val="22"/>
        </w:rPr>
        <w:t>analysis</w:t>
      </w:r>
    </w:p>
    <w:p w14:paraId="141B55E5" w14:textId="77777777" w:rsidR="00C06550" w:rsidRDefault="00C06550" w:rsidP="00E9252C">
      <w:pPr>
        <w:pStyle w:val="TH"/>
        <w:jc w:val="both"/>
        <w:rPr>
          <w:b w:val="0"/>
        </w:rPr>
      </w:pPr>
      <w:r>
        <w:rPr>
          <w:rFonts w:asciiTheme="minorHAnsi" w:hAnsiTheme="minorHAnsi" w:cstheme="minorHAnsi"/>
          <w:bCs/>
          <w:sz w:val="22"/>
          <w:szCs w:val="22"/>
        </w:rPr>
        <w:t>Observation</w:t>
      </w:r>
      <w:r w:rsidR="00884623">
        <w:rPr>
          <w:rFonts w:asciiTheme="minorHAnsi" w:hAnsiTheme="minorHAnsi" w:cstheme="minorHAnsi"/>
          <w:bCs/>
          <w:sz w:val="22"/>
          <w:szCs w:val="22"/>
        </w:rPr>
        <w:t xml:space="preserve"> 10</w:t>
      </w:r>
      <w:r>
        <w:rPr>
          <w:rFonts w:asciiTheme="minorHAnsi" w:hAnsiTheme="minorHAnsi" w:cstheme="minorHAnsi"/>
          <w:bCs/>
          <w:sz w:val="22"/>
          <w:szCs w:val="22"/>
        </w:rPr>
        <w:t>:</w:t>
      </w:r>
      <w:r>
        <w:rPr>
          <w:b w:val="0"/>
        </w:rPr>
        <w:t xml:space="preserve"> Indoor </w:t>
      </w:r>
      <w:r w:rsidR="00AA5B34">
        <w:rPr>
          <w:b w:val="0"/>
        </w:rPr>
        <w:t xml:space="preserve">TN deployments in </w:t>
      </w:r>
      <w:r w:rsidR="00994EDD">
        <w:rPr>
          <w:b w:val="0"/>
        </w:rPr>
        <w:t>FR2</w:t>
      </w:r>
      <w:r>
        <w:rPr>
          <w:b w:val="0"/>
        </w:rPr>
        <w:t xml:space="preserve"> are unlikely to be affected by</w:t>
      </w:r>
      <w:r w:rsidR="00AA6B5C">
        <w:rPr>
          <w:b w:val="0"/>
        </w:rPr>
        <w:t xml:space="preserve"> NTN deployment due to</w:t>
      </w:r>
      <w:r w:rsidR="004C7C48">
        <w:rPr>
          <w:b w:val="0"/>
        </w:rPr>
        <w:t xml:space="preserve"> path loss and building attenuation</w:t>
      </w:r>
      <w:r w:rsidR="00AA6B5C">
        <w:rPr>
          <w:b w:val="0"/>
        </w:rPr>
        <w:t>.</w:t>
      </w:r>
    </w:p>
    <w:p w14:paraId="77BB00F0" w14:textId="77777777" w:rsidR="00AA6B5C" w:rsidRPr="007706CC" w:rsidRDefault="00AA6B5C" w:rsidP="00E9252C">
      <w:pPr>
        <w:pStyle w:val="TH"/>
        <w:jc w:val="both"/>
        <w:rPr>
          <w:b w:val="0"/>
        </w:rPr>
      </w:pPr>
      <w:r>
        <w:t>Proposal</w:t>
      </w:r>
      <w:r w:rsidR="003C79B8">
        <w:t xml:space="preserve"> </w:t>
      </w:r>
      <w:r w:rsidR="00356E56">
        <w:t>9</w:t>
      </w:r>
      <w:r>
        <w:t xml:space="preserve">: </w:t>
      </w:r>
      <w:r>
        <w:rPr>
          <w:b w:val="0"/>
        </w:rPr>
        <w:t>Indoor scenario can be removed or at least deprioritised in FR2 NTN-TN coexistence analysis.</w:t>
      </w:r>
    </w:p>
    <w:p w14:paraId="5C1FF3B8" w14:textId="77777777" w:rsidR="005E7EB6" w:rsidRDefault="004C7C48" w:rsidP="00E9252C">
      <w:pPr>
        <w:pStyle w:val="TH"/>
        <w:jc w:val="both"/>
        <w:rPr>
          <w:rFonts w:asciiTheme="minorHAnsi" w:hAnsiTheme="minorHAnsi" w:cstheme="minorHAnsi"/>
          <w:b w:val="0"/>
          <w:bCs/>
          <w:sz w:val="22"/>
          <w:szCs w:val="22"/>
          <w:lang w:eastAsia="fr-FR"/>
        </w:rPr>
      </w:pPr>
      <w:r>
        <w:rPr>
          <w:rFonts w:asciiTheme="minorHAnsi" w:hAnsiTheme="minorHAnsi" w:cstheme="minorHAnsi"/>
          <w:bCs/>
          <w:sz w:val="22"/>
          <w:szCs w:val="22"/>
          <w:lang w:eastAsia="fr-FR"/>
        </w:rPr>
        <w:t>Observation</w:t>
      </w:r>
      <w:r w:rsidR="00884623">
        <w:rPr>
          <w:rFonts w:asciiTheme="minorHAnsi" w:hAnsiTheme="minorHAnsi" w:cstheme="minorHAnsi"/>
          <w:bCs/>
          <w:sz w:val="22"/>
          <w:szCs w:val="22"/>
          <w:lang w:eastAsia="fr-FR"/>
        </w:rPr>
        <w:t xml:space="preserve"> 11</w:t>
      </w:r>
      <w:r>
        <w:rPr>
          <w:rFonts w:asciiTheme="minorHAnsi" w:hAnsiTheme="minorHAnsi" w:cstheme="minorHAnsi"/>
          <w:bCs/>
          <w:sz w:val="22"/>
          <w:szCs w:val="22"/>
          <w:lang w:eastAsia="fr-FR"/>
        </w:rPr>
        <w:t xml:space="preserve">:  </w:t>
      </w:r>
      <w:r w:rsidR="005E7EB6">
        <w:rPr>
          <w:rFonts w:asciiTheme="minorHAnsi" w:hAnsiTheme="minorHAnsi" w:cstheme="minorHAnsi"/>
          <w:b w:val="0"/>
          <w:bCs/>
          <w:sz w:val="22"/>
          <w:szCs w:val="22"/>
          <w:lang w:eastAsia="fr-FR"/>
        </w:rPr>
        <w:t>RAN WF from 98e selected Rural, Urban Macro, Dense Urban and Indoor scenarios for NTN-TN coexistence in FR1.  Since in FR2 Rural and Indoor become not relevant, this allows down-selection to Urban Macro and Dense Urban for FR2 NTN-TN coexistence analysis.</w:t>
      </w:r>
    </w:p>
    <w:p w14:paraId="50D5AF7C" w14:textId="77777777" w:rsidR="00F83E15" w:rsidRDefault="005E7EB6" w:rsidP="00E9252C">
      <w:pPr>
        <w:pStyle w:val="TH"/>
        <w:jc w:val="both"/>
        <w:rPr>
          <w:rFonts w:asciiTheme="minorHAnsi" w:hAnsiTheme="minorHAnsi" w:cstheme="minorHAnsi"/>
          <w:b w:val="0"/>
          <w:bCs/>
          <w:sz w:val="22"/>
          <w:szCs w:val="22"/>
        </w:rPr>
      </w:pPr>
      <w:r>
        <w:rPr>
          <w:rFonts w:asciiTheme="minorHAnsi" w:hAnsiTheme="minorHAnsi" w:cstheme="minorHAnsi"/>
          <w:bCs/>
          <w:sz w:val="22"/>
          <w:szCs w:val="22"/>
          <w:lang w:eastAsia="fr-FR"/>
        </w:rPr>
        <w:t>Proposal</w:t>
      </w:r>
      <w:r w:rsidR="00884623">
        <w:rPr>
          <w:rFonts w:asciiTheme="minorHAnsi" w:hAnsiTheme="minorHAnsi" w:cstheme="minorHAnsi"/>
          <w:bCs/>
          <w:sz w:val="22"/>
          <w:szCs w:val="22"/>
          <w:lang w:eastAsia="fr-FR"/>
        </w:rPr>
        <w:t xml:space="preserve"> </w:t>
      </w:r>
      <w:r w:rsidR="00356E56">
        <w:rPr>
          <w:rFonts w:asciiTheme="minorHAnsi" w:hAnsiTheme="minorHAnsi" w:cstheme="minorHAnsi"/>
          <w:bCs/>
          <w:sz w:val="22"/>
          <w:szCs w:val="22"/>
          <w:lang w:eastAsia="fr-FR"/>
        </w:rPr>
        <w:t>10</w:t>
      </w:r>
      <w:r>
        <w:rPr>
          <w:rFonts w:asciiTheme="minorHAnsi" w:hAnsiTheme="minorHAnsi" w:cstheme="minorHAnsi"/>
          <w:bCs/>
          <w:sz w:val="22"/>
          <w:szCs w:val="22"/>
          <w:lang w:eastAsia="fr-FR"/>
        </w:rPr>
        <w:t>:</w:t>
      </w:r>
      <w:r>
        <w:rPr>
          <w:b w:val="0"/>
        </w:rPr>
        <w:t xml:space="preserve"> RAN can </w:t>
      </w:r>
      <w:r w:rsidR="00994EDD">
        <w:rPr>
          <w:b w:val="0"/>
        </w:rPr>
        <w:t>limit scope to</w:t>
      </w:r>
      <w:r>
        <w:rPr>
          <w:b w:val="0"/>
        </w:rPr>
        <w:t xml:space="preserve"> scenarios with Urban Macro and Dense Urban TN deployment for NTN-TN coexistence analysis in FR2.</w:t>
      </w:r>
    </w:p>
    <w:p w14:paraId="30BA197D" w14:textId="77777777" w:rsidR="00E86BE3" w:rsidRPr="00CC3760" w:rsidRDefault="00E86BE3" w:rsidP="00CC3760">
      <w:pPr>
        <w:pStyle w:val="TH"/>
        <w:jc w:val="left"/>
        <w:rPr>
          <w:rFonts w:asciiTheme="minorHAnsi" w:hAnsiTheme="minorHAnsi" w:cstheme="minorHAnsi"/>
          <w:b w:val="0"/>
          <w:bCs/>
          <w:sz w:val="22"/>
          <w:szCs w:val="22"/>
        </w:rPr>
      </w:pPr>
    </w:p>
    <w:p w14:paraId="6E70AA66" w14:textId="77777777" w:rsidR="00EF0CF6" w:rsidRDefault="00373E23" w:rsidP="00CC3760">
      <w:pPr>
        <w:pStyle w:val="Heading4"/>
      </w:pPr>
      <w:r w:rsidRPr="00CC3760">
        <w:t>2.</w:t>
      </w:r>
      <w:r w:rsidR="007E1122">
        <w:t>4</w:t>
      </w:r>
      <w:r w:rsidRPr="00CC3760">
        <w:t xml:space="preserve">.2 </w:t>
      </w:r>
      <w:r w:rsidR="00C8071B" w:rsidRPr="00CC3760">
        <w:t xml:space="preserve">Ka-band </w:t>
      </w:r>
      <w:r w:rsidR="00CC40FB">
        <w:t xml:space="preserve">NTN </w:t>
      </w:r>
      <w:r w:rsidR="00C8071B" w:rsidRPr="00CC3760">
        <w:t xml:space="preserve">DL </w:t>
      </w:r>
      <w:r w:rsidR="002F1EF7">
        <w:t>coexistence with TN</w:t>
      </w:r>
      <w:r w:rsidR="00CC40FB">
        <w:t xml:space="preserve"> UL and DL in adjacent frequenc</w:t>
      </w:r>
      <w:r w:rsidR="00D56C0F">
        <w:t>y bands</w:t>
      </w:r>
    </w:p>
    <w:p w14:paraId="7345EAA9" w14:textId="0DD2A5E9" w:rsidR="00373E23" w:rsidRDefault="00EF0CF6" w:rsidP="00E9252C">
      <w:pPr>
        <w:jc w:val="both"/>
        <w:rPr>
          <w:rFonts w:cstheme="minorHAnsi"/>
          <w:bCs/>
        </w:rPr>
      </w:pPr>
      <w:r>
        <w:rPr>
          <w:rFonts w:cstheme="minorHAnsi"/>
          <w:bCs/>
        </w:rPr>
        <w:t>Th</w:t>
      </w:r>
      <w:r w:rsidR="00CC40FB">
        <w:rPr>
          <w:rFonts w:cstheme="minorHAnsi"/>
          <w:bCs/>
        </w:rPr>
        <w:t>e satellite Ka band DL</w:t>
      </w:r>
      <w:r w:rsidR="00AA6B5C">
        <w:rPr>
          <w:rFonts w:cstheme="minorHAnsi"/>
          <w:bCs/>
        </w:rPr>
        <w:t xml:space="preserve"> (</w:t>
      </w:r>
      <w:r w:rsidR="00AA6B5C" w:rsidRPr="00486375">
        <w:rPr>
          <w:bCs/>
        </w:rPr>
        <w:t>17.3 – 20.2 GHz</w:t>
      </w:r>
      <w:r w:rsidR="00AA6B5C">
        <w:rPr>
          <w:bCs/>
        </w:rPr>
        <w:t>)</w:t>
      </w:r>
      <w:r>
        <w:rPr>
          <w:rFonts w:cstheme="minorHAnsi"/>
          <w:bCs/>
        </w:rPr>
        <w:t xml:space="preserve"> range </w:t>
      </w:r>
      <w:r w:rsidR="00373E23" w:rsidRPr="00CC3760">
        <w:rPr>
          <w:rFonts w:cstheme="minorHAnsi"/>
          <w:bCs/>
        </w:rPr>
        <w:t xml:space="preserve">does </w:t>
      </w:r>
      <w:r w:rsidR="00CC40FB">
        <w:rPr>
          <w:rFonts w:cstheme="minorHAnsi"/>
          <w:bCs/>
        </w:rPr>
        <w:t>not overlap, nor is adjacent to any</w:t>
      </w:r>
      <w:r w:rsidR="00373E23" w:rsidRPr="00CC3760">
        <w:rPr>
          <w:rFonts w:cstheme="minorHAnsi"/>
          <w:bCs/>
        </w:rPr>
        <w:t xml:space="preserve"> terrestrial band. As such </w:t>
      </w:r>
      <w:r w:rsidR="00A05FF7">
        <w:rPr>
          <w:rFonts w:cstheme="minorHAnsi"/>
          <w:bCs/>
        </w:rPr>
        <w:t>it</w:t>
      </w:r>
      <w:r w:rsidR="00291C32">
        <w:rPr>
          <w:rFonts w:cstheme="minorHAnsi"/>
          <w:bCs/>
        </w:rPr>
        <w:t xml:space="preserve"> is unnecessary</w:t>
      </w:r>
      <w:r w:rsidR="00AA6B5C">
        <w:rPr>
          <w:rFonts w:cstheme="minorHAnsi"/>
          <w:bCs/>
        </w:rPr>
        <w:t xml:space="preserve"> to perform coexistence analysis between NTN DL and TN.</w:t>
      </w:r>
    </w:p>
    <w:p w14:paraId="5C484CE7" w14:textId="77777777" w:rsidR="00AA6B5C" w:rsidRDefault="00AA6B5C" w:rsidP="00E9252C">
      <w:pPr>
        <w:jc w:val="both"/>
        <w:rPr>
          <w:bCs/>
        </w:rPr>
      </w:pPr>
      <w:r>
        <w:rPr>
          <w:rFonts w:cstheme="minorHAnsi"/>
          <w:b/>
          <w:bCs/>
        </w:rPr>
        <w:t>Observation</w:t>
      </w:r>
      <w:r w:rsidR="009F6329">
        <w:rPr>
          <w:rFonts w:cstheme="minorHAnsi"/>
          <w:b/>
          <w:bCs/>
        </w:rPr>
        <w:t xml:space="preserve"> 12</w:t>
      </w:r>
      <w:r>
        <w:rPr>
          <w:rFonts w:cstheme="minorHAnsi"/>
          <w:b/>
          <w:bCs/>
        </w:rPr>
        <w:t xml:space="preserve">: </w:t>
      </w:r>
      <w:r>
        <w:rPr>
          <w:rFonts w:cstheme="minorHAnsi"/>
          <w:bCs/>
        </w:rPr>
        <w:t xml:space="preserve"> There are no 3GPP TN bands specified in </w:t>
      </w:r>
      <w:r w:rsidR="00CC40FB">
        <w:rPr>
          <w:rFonts w:cstheme="minorHAnsi"/>
          <w:bCs/>
        </w:rPr>
        <w:t xml:space="preserve">or adjacent to </w:t>
      </w:r>
      <w:r>
        <w:rPr>
          <w:rFonts w:cstheme="minorHAnsi"/>
          <w:bCs/>
        </w:rPr>
        <w:t>the satellite Ka DL (</w:t>
      </w:r>
      <w:r w:rsidRPr="00486375">
        <w:rPr>
          <w:bCs/>
        </w:rPr>
        <w:t>17.3 – 20.2 GHz</w:t>
      </w:r>
      <w:r>
        <w:rPr>
          <w:bCs/>
        </w:rPr>
        <w:t>) range, and thus no 3GPP TN deployments.</w:t>
      </w:r>
    </w:p>
    <w:p w14:paraId="5CBB2F54" w14:textId="77777777" w:rsidR="00CF6D6C" w:rsidRDefault="00AA6B5C" w:rsidP="00E9252C">
      <w:pPr>
        <w:jc w:val="both"/>
        <w:rPr>
          <w:rFonts w:cstheme="minorHAnsi"/>
          <w:bCs/>
        </w:rPr>
      </w:pPr>
      <w:r>
        <w:rPr>
          <w:rFonts w:cstheme="minorHAnsi"/>
          <w:bCs/>
        </w:rPr>
        <w:t>ETSI define RF specifications for satellite transmissions in line with ITU-R regulations and appropriate regional resolutions.  These specifications can be used as a starting point by RAN when defining NTN RF requirements.</w:t>
      </w:r>
    </w:p>
    <w:p w14:paraId="4F4381F5" w14:textId="55A652CD" w:rsidR="00AA6B5C" w:rsidRDefault="00F83E15" w:rsidP="00E9252C">
      <w:pPr>
        <w:jc w:val="both"/>
        <w:rPr>
          <w:rFonts w:cstheme="minorHAnsi"/>
          <w:bCs/>
        </w:rPr>
      </w:pPr>
      <w:r w:rsidRPr="007706CC">
        <w:rPr>
          <w:rFonts w:cstheme="minorHAnsi"/>
          <w:b/>
          <w:bCs/>
        </w:rPr>
        <w:t>Proposal</w:t>
      </w:r>
      <w:r w:rsidR="00442B7E">
        <w:rPr>
          <w:rFonts w:cstheme="minorHAnsi"/>
          <w:b/>
          <w:bCs/>
        </w:rPr>
        <w:t xml:space="preserve"> </w:t>
      </w:r>
      <w:r w:rsidR="009F6329">
        <w:rPr>
          <w:rFonts w:cstheme="minorHAnsi"/>
          <w:b/>
          <w:bCs/>
        </w:rPr>
        <w:t>1</w:t>
      </w:r>
      <w:r w:rsidR="00356E56">
        <w:rPr>
          <w:rFonts w:cstheme="minorHAnsi"/>
          <w:b/>
          <w:bCs/>
        </w:rPr>
        <w:t>1</w:t>
      </w:r>
      <w:r w:rsidR="00442B7E" w:rsidRPr="007706CC">
        <w:rPr>
          <w:rFonts w:cstheme="minorHAnsi"/>
          <w:bCs/>
        </w:rPr>
        <w:t xml:space="preserve">: For </w:t>
      </w:r>
      <w:r w:rsidR="00AA6B5C">
        <w:rPr>
          <w:rFonts w:cstheme="minorHAnsi"/>
          <w:bCs/>
        </w:rPr>
        <w:t xml:space="preserve">satellite </w:t>
      </w:r>
      <w:r w:rsidR="00442B7E" w:rsidRPr="007706CC">
        <w:rPr>
          <w:rFonts w:cstheme="minorHAnsi"/>
          <w:bCs/>
        </w:rPr>
        <w:t>Ka band</w:t>
      </w:r>
      <w:r w:rsidR="00AA6B5C">
        <w:rPr>
          <w:rFonts w:cstheme="minorHAnsi"/>
          <w:bCs/>
        </w:rPr>
        <w:t xml:space="preserve"> NTN DL (</w:t>
      </w:r>
      <w:r w:rsidR="00AA6B5C" w:rsidRPr="00486375">
        <w:rPr>
          <w:bCs/>
        </w:rPr>
        <w:t>17.3 – 20.2 GHz</w:t>
      </w:r>
      <w:r w:rsidR="00AA6B5C">
        <w:rPr>
          <w:bCs/>
        </w:rPr>
        <w:t>)</w:t>
      </w:r>
      <w:r w:rsidR="00AA6B5C">
        <w:rPr>
          <w:rFonts w:cstheme="minorHAnsi"/>
          <w:bCs/>
        </w:rPr>
        <w:t xml:space="preserve">, </w:t>
      </w:r>
      <w:r w:rsidR="00442B7E" w:rsidRPr="007706CC">
        <w:rPr>
          <w:rFonts w:cstheme="minorHAnsi"/>
          <w:bCs/>
        </w:rPr>
        <w:t>RAN does</w:t>
      </w:r>
      <w:r w:rsidR="00184766">
        <w:rPr>
          <w:rFonts w:cstheme="minorHAnsi"/>
          <w:bCs/>
        </w:rPr>
        <w:t xml:space="preserve"> not</w:t>
      </w:r>
      <w:r w:rsidR="00442B7E" w:rsidRPr="007706CC">
        <w:rPr>
          <w:rFonts w:cstheme="minorHAnsi"/>
          <w:bCs/>
        </w:rPr>
        <w:t xml:space="preserve"> need to undertake </w:t>
      </w:r>
      <w:r w:rsidR="00AA6B5C">
        <w:rPr>
          <w:rFonts w:cstheme="minorHAnsi"/>
          <w:bCs/>
        </w:rPr>
        <w:t xml:space="preserve">any </w:t>
      </w:r>
      <w:r w:rsidR="00442B7E" w:rsidRPr="007706CC">
        <w:rPr>
          <w:rFonts w:cstheme="minorHAnsi"/>
          <w:bCs/>
        </w:rPr>
        <w:t>coexistence study</w:t>
      </w:r>
      <w:r w:rsidR="00AA6B5C">
        <w:rPr>
          <w:rFonts w:cstheme="minorHAnsi"/>
          <w:bCs/>
        </w:rPr>
        <w:t xml:space="preserve"> with TN</w:t>
      </w:r>
      <w:r w:rsidR="00994EDD">
        <w:rPr>
          <w:rFonts w:cstheme="minorHAnsi"/>
          <w:bCs/>
        </w:rPr>
        <w:t xml:space="preserve"> FR2</w:t>
      </w:r>
      <w:r w:rsidR="00442B7E" w:rsidRPr="007706CC">
        <w:rPr>
          <w:rFonts w:cstheme="minorHAnsi"/>
          <w:bCs/>
        </w:rPr>
        <w:t xml:space="preserve">. </w:t>
      </w:r>
    </w:p>
    <w:p w14:paraId="6BDD7901" w14:textId="77777777" w:rsidR="00F83E15" w:rsidRPr="007706CC" w:rsidRDefault="00AA6B5C" w:rsidP="00E9252C">
      <w:pPr>
        <w:jc w:val="both"/>
        <w:rPr>
          <w:rFonts w:cstheme="minorHAnsi"/>
          <w:b/>
          <w:bCs/>
        </w:rPr>
      </w:pPr>
      <w:r>
        <w:rPr>
          <w:rFonts w:cstheme="minorHAnsi"/>
          <w:b/>
          <w:bCs/>
        </w:rPr>
        <w:t xml:space="preserve">Proposal </w:t>
      </w:r>
      <w:r w:rsidR="009F6329">
        <w:rPr>
          <w:rFonts w:cstheme="minorHAnsi"/>
          <w:b/>
          <w:bCs/>
        </w:rPr>
        <w:t>1</w:t>
      </w:r>
      <w:r w:rsidR="00356E56">
        <w:rPr>
          <w:rFonts w:cstheme="minorHAnsi"/>
          <w:b/>
          <w:bCs/>
        </w:rPr>
        <w:t>2</w:t>
      </w:r>
      <w:r>
        <w:rPr>
          <w:rFonts w:cstheme="minorHAnsi"/>
          <w:b/>
          <w:bCs/>
        </w:rPr>
        <w:t xml:space="preserve">: </w:t>
      </w:r>
      <w:r>
        <w:rPr>
          <w:rFonts w:cstheme="minorHAnsi"/>
          <w:bCs/>
        </w:rPr>
        <w:t>For the purpose of specifying NTN BS (i.e. satellite TX) RF requirements</w:t>
      </w:r>
      <w:r w:rsidR="000D589E">
        <w:rPr>
          <w:rFonts w:cstheme="minorHAnsi"/>
          <w:bCs/>
        </w:rPr>
        <w:t xml:space="preserve"> in satellite Ka band DL (</w:t>
      </w:r>
      <w:r w:rsidR="000D589E" w:rsidRPr="00486375">
        <w:rPr>
          <w:bCs/>
        </w:rPr>
        <w:t>17.3 – 20.2 GHz</w:t>
      </w:r>
      <w:r w:rsidR="000D589E">
        <w:rPr>
          <w:bCs/>
        </w:rPr>
        <w:t>)</w:t>
      </w:r>
      <w:r>
        <w:rPr>
          <w:rFonts w:cstheme="minorHAnsi"/>
          <w:bCs/>
        </w:rPr>
        <w:t xml:space="preserve">, RAN can </w:t>
      </w:r>
      <w:r w:rsidR="00CF6D6C" w:rsidRPr="007706CC">
        <w:rPr>
          <w:rFonts w:cstheme="minorHAnsi"/>
          <w:bCs/>
        </w:rPr>
        <w:t>use ITU-R</w:t>
      </w:r>
      <w:r w:rsidR="0023581C">
        <w:rPr>
          <w:rFonts w:cstheme="minorHAnsi"/>
          <w:bCs/>
        </w:rPr>
        <w:t>, ETSI</w:t>
      </w:r>
      <w:r w:rsidR="00CF6D6C" w:rsidRPr="007706CC">
        <w:rPr>
          <w:rFonts w:cstheme="minorHAnsi"/>
          <w:bCs/>
        </w:rPr>
        <w:t xml:space="preserve"> and </w:t>
      </w:r>
      <w:r>
        <w:rPr>
          <w:rFonts w:cstheme="minorHAnsi"/>
          <w:bCs/>
        </w:rPr>
        <w:t xml:space="preserve">appropriate </w:t>
      </w:r>
      <w:r w:rsidR="00CF6D6C" w:rsidRPr="007706CC">
        <w:rPr>
          <w:rFonts w:cstheme="minorHAnsi"/>
          <w:bCs/>
        </w:rPr>
        <w:t>regional regulatory sources</w:t>
      </w:r>
      <w:r>
        <w:rPr>
          <w:rFonts w:cstheme="minorHAnsi"/>
          <w:bCs/>
        </w:rPr>
        <w:t xml:space="preserve"> as reference.</w:t>
      </w:r>
    </w:p>
    <w:p w14:paraId="2A7815DF" w14:textId="77777777" w:rsidR="002A5BCC" w:rsidRDefault="002A5BCC" w:rsidP="00E9252C">
      <w:pPr>
        <w:pStyle w:val="TH"/>
        <w:jc w:val="left"/>
        <w:rPr>
          <w:b w:val="0"/>
          <w:bCs/>
        </w:rPr>
      </w:pPr>
    </w:p>
    <w:p w14:paraId="5BEBE540" w14:textId="7962EC69" w:rsidR="003637A9" w:rsidRDefault="00405CF4">
      <w:pPr>
        <w:pStyle w:val="Heading1"/>
        <w:rPr>
          <w:rFonts w:eastAsiaTheme="majorEastAsia"/>
        </w:rPr>
      </w:pPr>
      <w:r w:rsidRPr="00DD1389">
        <w:rPr>
          <w:rFonts w:eastAsiaTheme="majorEastAsia"/>
        </w:rPr>
        <w:t>Conclusions</w:t>
      </w:r>
      <w:r w:rsidR="00F83E15">
        <w:rPr>
          <w:rFonts w:eastAsiaTheme="majorEastAsia"/>
        </w:rPr>
        <w:t xml:space="preserve"> </w:t>
      </w:r>
    </w:p>
    <w:bookmarkEnd w:id="3"/>
    <w:p w14:paraId="03C6AEE8" w14:textId="77777777" w:rsidR="00F84642" w:rsidRPr="00F267EC" w:rsidRDefault="00F84642" w:rsidP="00E9252C">
      <w:pPr>
        <w:spacing w:after="0"/>
        <w:jc w:val="both"/>
        <w:rPr>
          <w:rFonts w:cstheme="minorHAnsi"/>
          <w:lang w:eastAsia="fr-FR"/>
        </w:rPr>
      </w:pPr>
      <w:r w:rsidRPr="00F267EC">
        <w:rPr>
          <w:rFonts w:cstheme="minorHAnsi"/>
          <w:lang w:eastAsia="fr-FR"/>
        </w:rPr>
        <w:t>In this</w:t>
      </w:r>
      <w:r w:rsidR="001E6371" w:rsidRPr="00356E56">
        <w:rPr>
          <w:rFonts w:cstheme="minorHAnsi"/>
          <w:lang w:eastAsia="fr-FR"/>
        </w:rPr>
        <w:t xml:space="preserve"> contribution</w:t>
      </w:r>
      <w:r w:rsidRPr="00105761">
        <w:rPr>
          <w:rFonts w:cstheme="minorHAnsi"/>
          <w:lang w:eastAsia="fr-FR"/>
        </w:rPr>
        <w:t xml:space="preserve"> we are seeking RAN </w:t>
      </w:r>
      <w:r w:rsidR="001E6371" w:rsidRPr="003506B3">
        <w:rPr>
          <w:rFonts w:cstheme="minorHAnsi"/>
          <w:lang w:eastAsia="fr-FR"/>
        </w:rPr>
        <w:t>to consider the following proposals</w:t>
      </w:r>
      <w:r w:rsidR="001E6371" w:rsidRPr="0027546C">
        <w:rPr>
          <w:rFonts w:cstheme="minorHAnsi"/>
          <w:lang w:eastAsia="fr-FR"/>
        </w:rPr>
        <w:t>:</w:t>
      </w:r>
    </w:p>
    <w:p w14:paraId="7830A7E9" w14:textId="77777777" w:rsidR="00443D02" w:rsidRPr="00F267EC" w:rsidRDefault="00443D02" w:rsidP="00E9252C">
      <w:pPr>
        <w:spacing w:after="0"/>
        <w:jc w:val="both"/>
        <w:rPr>
          <w:rFonts w:cstheme="minorHAnsi"/>
          <w:lang w:eastAsia="fr-FR"/>
        </w:rPr>
      </w:pPr>
    </w:p>
    <w:p w14:paraId="7DA6873B" w14:textId="324332BE" w:rsidR="00443D02" w:rsidRPr="00E9252C" w:rsidRDefault="00443D02" w:rsidP="00E9252C">
      <w:pPr>
        <w:spacing w:after="0"/>
        <w:jc w:val="both"/>
        <w:rPr>
          <w:rFonts w:ascii="Calibri" w:hAnsi="Calibri"/>
        </w:rPr>
      </w:pPr>
      <w:r w:rsidRPr="00E9252C">
        <w:rPr>
          <w:rFonts w:ascii="Calibri" w:hAnsi="Calibri"/>
          <w:b/>
        </w:rPr>
        <w:t>Proposal 1:</w:t>
      </w:r>
      <w:r w:rsidRPr="00E9252C">
        <w:rPr>
          <w:rFonts w:ascii="Calibri" w:hAnsi="Calibri"/>
        </w:rPr>
        <w:t xml:space="preserve"> For </w:t>
      </w:r>
      <w:r w:rsidR="000C3C2C" w:rsidRPr="00F267EC">
        <w:rPr>
          <w:rFonts w:ascii="Calibri" w:hAnsi="Calibri"/>
        </w:rPr>
        <w:t xml:space="preserve">NTN </w:t>
      </w:r>
      <w:r w:rsidRPr="00E9252C">
        <w:rPr>
          <w:rFonts w:ascii="Calibri" w:hAnsi="Calibri"/>
        </w:rPr>
        <w:t>coexistence study purpose, RAN should consider all the bands collectively referred to as “satellite Ka band”, in both “FSS” and “MSS” denomination, since the provision of mobility services from GSO and NGSO is allowed in FSS as well as MSS denominated spectrum and regulated by ITU-R regulations and recently reinforced by WRC Resolutions 156, 169</w:t>
      </w:r>
      <w:r w:rsidRPr="00F267EC">
        <w:rPr>
          <w:rFonts w:ascii="Calibri" w:hAnsi="Calibri"/>
        </w:rPr>
        <w:t xml:space="preserve"> </w:t>
      </w:r>
      <w:r w:rsidRPr="00E9252C">
        <w:rPr>
          <w:rFonts w:ascii="Calibri" w:hAnsi="Calibri"/>
        </w:rPr>
        <w:t>and 173.</w:t>
      </w:r>
    </w:p>
    <w:p w14:paraId="789EF0B8" w14:textId="77777777" w:rsidR="007706CC" w:rsidRPr="00E9252C" w:rsidRDefault="007706CC" w:rsidP="00E9252C">
      <w:pPr>
        <w:spacing w:after="0"/>
        <w:jc w:val="both"/>
        <w:rPr>
          <w:rFonts w:ascii="Calibri" w:hAnsi="Calibri" w:cstheme="minorHAnsi"/>
          <w:lang w:eastAsia="fr-FR"/>
        </w:rPr>
      </w:pPr>
    </w:p>
    <w:p w14:paraId="0485C0A7" w14:textId="77777777" w:rsidR="007706CC" w:rsidRPr="00E9252C" w:rsidRDefault="00443D02" w:rsidP="00E9252C">
      <w:pPr>
        <w:spacing w:after="0"/>
        <w:jc w:val="both"/>
        <w:rPr>
          <w:rFonts w:ascii="Calibri" w:hAnsi="Calibri"/>
        </w:rPr>
      </w:pPr>
      <w:r w:rsidRPr="00E9252C">
        <w:rPr>
          <w:rFonts w:ascii="Calibri" w:hAnsi="Calibri"/>
          <w:b/>
        </w:rPr>
        <w:t>Proposal 2</w:t>
      </w:r>
      <w:r w:rsidR="007706CC" w:rsidRPr="00E9252C">
        <w:rPr>
          <w:rFonts w:ascii="Calibri" w:hAnsi="Calibri"/>
          <w:b/>
        </w:rPr>
        <w:t>:</w:t>
      </w:r>
      <w:r w:rsidR="007706CC" w:rsidRPr="00E9252C">
        <w:rPr>
          <w:rFonts w:ascii="Calibri" w:hAnsi="Calibri"/>
        </w:rPr>
        <w:t xml:space="preserve"> When treating Non-Terrestrial Networks, the FR1/FR2 boundaries may need to be adapted in line with the frequency band allocations that are valid for satellite communications.</w:t>
      </w:r>
    </w:p>
    <w:p w14:paraId="1A3C793F" w14:textId="77777777" w:rsidR="007706CC" w:rsidRPr="00E9252C" w:rsidRDefault="007706CC" w:rsidP="00E9252C">
      <w:pPr>
        <w:spacing w:after="0"/>
        <w:jc w:val="both"/>
        <w:rPr>
          <w:rFonts w:ascii="Calibri" w:hAnsi="Calibri"/>
        </w:rPr>
      </w:pPr>
    </w:p>
    <w:p w14:paraId="1D0430AB" w14:textId="77777777" w:rsidR="007706CC" w:rsidRPr="00E9252C" w:rsidRDefault="007706CC" w:rsidP="00E9252C">
      <w:pPr>
        <w:jc w:val="both"/>
        <w:rPr>
          <w:rFonts w:ascii="Calibri" w:hAnsi="Calibri"/>
        </w:rPr>
      </w:pPr>
      <w:r w:rsidRPr="00E9252C">
        <w:rPr>
          <w:rFonts w:ascii="Calibri" w:hAnsi="Calibri"/>
          <w:b/>
          <w:bCs/>
        </w:rPr>
        <w:t xml:space="preserve">Proposal </w:t>
      </w:r>
      <w:r w:rsidR="00443D02" w:rsidRPr="00E9252C">
        <w:rPr>
          <w:rFonts w:ascii="Calibri" w:hAnsi="Calibri"/>
          <w:b/>
          <w:bCs/>
        </w:rPr>
        <w:t>3</w:t>
      </w:r>
      <w:r w:rsidRPr="00E9252C">
        <w:rPr>
          <w:rFonts w:ascii="Calibri" w:hAnsi="Calibri"/>
          <w:b/>
          <w:bCs/>
        </w:rPr>
        <w:t>:</w:t>
      </w:r>
      <w:r w:rsidR="00D56C0F">
        <w:rPr>
          <w:rFonts w:ascii="Calibri" w:hAnsi="Calibri"/>
        </w:rPr>
        <w:t xml:space="preserve"> </w:t>
      </w:r>
      <w:r w:rsidRPr="00E9252C">
        <w:rPr>
          <w:rFonts w:ascii="Calibri" w:hAnsi="Calibri"/>
        </w:rPr>
        <w:t>In line with early analysis from “3GPP TR 38.820: NR; 7-24 GHz frequency range”, The DL portion of Ka frequency bands allocated to satellite services can be treated as FR2 band, in the scope of</w:t>
      </w:r>
      <w:r w:rsidR="00634E7C" w:rsidRPr="00F267EC">
        <w:rPr>
          <w:rFonts w:ascii="Calibri" w:hAnsi="Calibri"/>
        </w:rPr>
        <w:t xml:space="preserve"> RAN</w:t>
      </w:r>
      <w:r w:rsidRPr="00E9252C">
        <w:rPr>
          <w:rFonts w:ascii="Calibri" w:hAnsi="Calibri"/>
        </w:rPr>
        <w:t xml:space="preserve"> specification work, particularly for the identification of RF requirements.</w:t>
      </w:r>
    </w:p>
    <w:p w14:paraId="44CBCE3D" w14:textId="77777777" w:rsidR="007706CC" w:rsidRPr="00E9252C" w:rsidRDefault="007706CC" w:rsidP="00E9252C">
      <w:pPr>
        <w:spacing w:after="0"/>
        <w:jc w:val="both"/>
        <w:rPr>
          <w:rFonts w:ascii="Calibri" w:hAnsi="Calibri"/>
        </w:rPr>
      </w:pPr>
      <w:r w:rsidRPr="00E9252C">
        <w:rPr>
          <w:rFonts w:ascii="Calibri" w:hAnsi="Calibri"/>
          <w:b/>
        </w:rPr>
        <w:t>Pr</w:t>
      </w:r>
      <w:r w:rsidR="00443D02" w:rsidRPr="00E9252C">
        <w:rPr>
          <w:rFonts w:ascii="Calibri" w:hAnsi="Calibri"/>
          <w:b/>
        </w:rPr>
        <w:t>oposal 4</w:t>
      </w:r>
      <w:r w:rsidRPr="00E9252C">
        <w:rPr>
          <w:rFonts w:ascii="Calibri" w:hAnsi="Calibri"/>
          <w:b/>
        </w:rPr>
        <w:t xml:space="preserve">: </w:t>
      </w:r>
      <w:r w:rsidRPr="00E9252C">
        <w:rPr>
          <w:rFonts w:ascii="Calibri" w:hAnsi="Calibri"/>
        </w:rPr>
        <w:t>RAN to consider the entirety of the Ka band frequency range allocated to satellite services as FR2 when defining an exemplary FR2 band for NR-NTN solutions.</w:t>
      </w:r>
    </w:p>
    <w:p w14:paraId="59B3C3E3" w14:textId="77777777" w:rsidR="00D56C0F" w:rsidRDefault="00D56C0F" w:rsidP="00E9252C">
      <w:pPr>
        <w:spacing w:after="0"/>
        <w:jc w:val="both"/>
        <w:rPr>
          <w:rFonts w:ascii="Calibri" w:hAnsi="Calibri"/>
          <w:b/>
        </w:rPr>
      </w:pPr>
    </w:p>
    <w:p w14:paraId="606ED17A" w14:textId="77777777" w:rsidR="007706CC" w:rsidRPr="00E9252C" w:rsidRDefault="007706CC" w:rsidP="00E9252C">
      <w:pPr>
        <w:spacing w:after="0"/>
        <w:jc w:val="both"/>
        <w:rPr>
          <w:rFonts w:ascii="Calibri" w:hAnsi="Calibri"/>
        </w:rPr>
      </w:pPr>
      <w:r w:rsidRPr="00E9252C">
        <w:rPr>
          <w:rFonts w:ascii="Calibri" w:hAnsi="Calibri"/>
          <w:b/>
        </w:rPr>
        <w:t>Proposal</w:t>
      </w:r>
      <w:r w:rsidR="00443D02" w:rsidRPr="00E9252C">
        <w:rPr>
          <w:rFonts w:ascii="Calibri" w:hAnsi="Calibri"/>
          <w:b/>
        </w:rPr>
        <w:t xml:space="preserve"> 5</w:t>
      </w:r>
      <w:r w:rsidRPr="00E9252C">
        <w:rPr>
          <w:rFonts w:ascii="Calibri" w:hAnsi="Calibri"/>
          <w:b/>
        </w:rPr>
        <w:t xml:space="preserve">: </w:t>
      </w:r>
      <w:r w:rsidRPr="00E9252C">
        <w:rPr>
          <w:rFonts w:ascii="Calibri" w:hAnsi="Calibri"/>
        </w:rPr>
        <w:t xml:space="preserve">For its adjacent channel coexistence studies, </w:t>
      </w:r>
      <w:r w:rsidR="00D4172C" w:rsidRPr="00F267EC">
        <w:rPr>
          <w:rFonts w:ascii="Calibri" w:hAnsi="Calibri"/>
        </w:rPr>
        <w:t>satellite Ka band</w:t>
      </w:r>
      <w:r w:rsidRPr="00E9252C">
        <w:rPr>
          <w:rFonts w:ascii="Calibri" w:hAnsi="Calibri"/>
        </w:rPr>
        <w:t xml:space="preserve"> should consider a density of fixed and mobile “VSAT” type UEs (i.e. including ESIMs) of the order of 1 UE per-km2 in “Rural”, “Urban Macro” and “Urban Dense” areas.</w:t>
      </w:r>
    </w:p>
    <w:p w14:paraId="16671262" w14:textId="77777777" w:rsidR="007706CC" w:rsidRPr="00E9252C" w:rsidRDefault="007706CC" w:rsidP="00E9252C">
      <w:pPr>
        <w:spacing w:after="0"/>
        <w:jc w:val="both"/>
        <w:rPr>
          <w:rFonts w:ascii="Calibri" w:hAnsi="Calibri"/>
        </w:rPr>
      </w:pPr>
    </w:p>
    <w:p w14:paraId="0B390402" w14:textId="77777777" w:rsidR="007706CC" w:rsidRPr="00E9252C" w:rsidRDefault="007706CC" w:rsidP="00E9252C">
      <w:pPr>
        <w:jc w:val="both"/>
        <w:rPr>
          <w:rFonts w:ascii="Calibri" w:hAnsi="Calibri"/>
          <w:bCs/>
        </w:rPr>
      </w:pPr>
      <w:r w:rsidRPr="00E9252C">
        <w:rPr>
          <w:rFonts w:ascii="Calibri" w:hAnsi="Calibri"/>
          <w:b/>
          <w:bCs/>
        </w:rPr>
        <w:t xml:space="preserve">Proposal </w:t>
      </w:r>
      <w:r w:rsidR="00443D02" w:rsidRPr="00E9252C">
        <w:rPr>
          <w:rFonts w:ascii="Calibri" w:hAnsi="Calibri"/>
          <w:b/>
          <w:bCs/>
        </w:rPr>
        <w:t>6</w:t>
      </w:r>
      <w:r w:rsidRPr="00E9252C">
        <w:rPr>
          <w:rFonts w:ascii="Calibri" w:hAnsi="Calibri"/>
          <w:b/>
          <w:bCs/>
        </w:rPr>
        <w:t>:</w:t>
      </w:r>
      <w:r w:rsidRPr="00E9252C">
        <w:rPr>
          <w:rFonts w:ascii="Calibri" w:hAnsi="Calibri"/>
        </w:rPr>
        <w:t xml:space="preserve"> </w:t>
      </w:r>
      <w:r w:rsidRPr="00E9252C">
        <w:rPr>
          <w:rFonts w:ascii="Calibri" w:hAnsi="Calibri"/>
          <w:bCs/>
        </w:rPr>
        <w:t>For Ka band, “VSAT” UE including fixed/moving platform mounted terminals are considered as baseline. The RF characteristics of “VSAT” UE in Table 6.1.1.1-3 in 3GPP TR 38.821 shall be assumed in the Rel-17 WI NR-NTN-solutions.</w:t>
      </w:r>
    </w:p>
    <w:p w14:paraId="255B825E" w14:textId="77777777" w:rsidR="007706CC" w:rsidRPr="00E9252C" w:rsidRDefault="007706CC" w:rsidP="00E9252C">
      <w:pPr>
        <w:pStyle w:val="TH"/>
        <w:jc w:val="both"/>
        <w:rPr>
          <w:rFonts w:ascii="Calibri" w:hAnsi="Calibri" w:cstheme="minorHAnsi"/>
          <w:b w:val="0"/>
          <w:bCs/>
          <w:sz w:val="22"/>
          <w:szCs w:val="22"/>
          <w:lang w:eastAsia="fr-FR"/>
        </w:rPr>
      </w:pPr>
      <w:r w:rsidRPr="00E9252C">
        <w:rPr>
          <w:rFonts w:ascii="Calibri" w:hAnsi="Calibri" w:cstheme="minorHAnsi"/>
          <w:bCs/>
          <w:sz w:val="22"/>
          <w:szCs w:val="22"/>
          <w:lang w:eastAsia="fr-FR"/>
        </w:rPr>
        <w:t>Proposal</w:t>
      </w:r>
      <w:r w:rsidR="00443D02" w:rsidRPr="00E9252C">
        <w:rPr>
          <w:rFonts w:ascii="Calibri" w:hAnsi="Calibri" w:cstheme="minorHAnsi"/>
          <w:bCs/>
          <w:sz w:val="22"/>
          <w:szCs w:val="22"/>
          <w:lang w:eastAsia="fr-FR"/>
        </w:rPr>
        <w:t xml:space="preserve"> 7</w:t>
      </w:r>
      <w:r w:rsidRPr="00E9252C">
        <w:rPr>
          <w:rFonts w:ascii="Calibri" w:hAnsi="Calibri" w:cstheme="minorHAnsi"/>
          <w:bCs/>
          <w:sz w:val="22"/>
          <w:szCs w:val="22"/>
          <w:lang w:eastAsia="fr-FR"/>
        </w:rPr>
        <w:t>:</w:t>
      </w:r>
      <w:r w:rsidR="00D56C0F">
        <w:rPr>
          <w:rFonts w:ascii="Calibri" w:hAnsi="Calibri" w:cstheme="minorHAnsi"/>
          <w:bCs/>
          <w:sz w:val="22"/>
          <w:szCs w:val="22"/>
          <w:lang w:eastAsia="fr-FR"/>
        </w:rPr>
        <w:t xml:space="preserve"> </w:t>
      </w:r>
      <w:r w:rsidRPr="00E9252C">
        <w:rPr>
          <w:rFonts w:ascii="Calibri" w:hAnsi="Calibri" w:cstheme="minorHAnsi"/>
          <w:b w:val="0"/>
          <w:bCs/>
          <w:sz w:val="22"/>
          <w:szCs w:val="22"/>
          <w:lang w:eastAsia="fr-FR"/>
        </w:rPr>
        <w:t>FR2 coexistence studies could be further down-scoped by deprioritizing NTN</w:t>
      </w:r>
      <w:r w:rsidR="00ED62E5">
        <w:rPr>
          <w:rFonts w:ascii="Calibri" w:hAnsi="Calibri" w:cstheme="minorHAnsi"/>
          <w:b w:val="0"/>
          <w:bCs/>
          <w:sz w:val="22"/>
          <w:szCs w:val="22"/>
          <w:lang w:eastAsia="fr-FR"/>
        </w:rPr>
        <w:t>-</w:t>
      </w:r>
      <w:r w:rsidRPr="00E9252C">
        <w:rPr>
          <w:rFonts w:ascii="Calibri" w:hAnsi="Calibri" w:cstheme="minorHAnsi"/>
          <w:b w:val="0"/>
          <w:bCs/>
          <w:sz w:val="22"/>
          <w:szCs w:val="22"/>
          <w:lang w:eastAsia="fr-FR"/>
        </w:rPr>
        <w:t xml:space="preserve">NTN coexistence scenarios. </w:t>
      </w:r>
    </w:p>
    <w:p w14:paraId="42A5081F" w14:textId="77777777" w:rsidR="007706CC" w:rsidRPr="00E9252C" w:rsidRDefault="007706CC" w:rsidP="00E9252C">
      <w:pPr>
        <w:pStyle w:val="TH"/>
        <w:jc w:val="both"/>
        <w:rPr>
          <w:rFonts w:ascii="Calibri" w:hAnsi="Calibri" w:cstheme="minorHAnsi"/>
          <w:b w:val="0"/>
          <w:bCs/>
          <w:sz w:val="22"/>
          <w:szCs w:val="22"/>
        </w:rPr>
      </w:pPr>
      <w:r w:rsidRPr="00E9252C">
        <w:rPr>
          <w:rFonts w:ascii="Calibri" w:hAnsi="Calibri" w:cstheme="minorHAnsi"/>
          <w:bCs/>
          <w:sz w:val="22"/>
          <w:szCs w:val="22"/>
        </w:rPr>
        <w:t>Proposal</w:t>
      </w:r>
      <w:r w:rsidR="00443D02" w:rsidRPr="00E9252C">
        <w:rPr>
          <w:rFonts w:ascii="Calibri" w:hAnsi="Calibri" w:cstheme="minorHAnsi"/>
          <w:bCs/>
          <w:sz w:val="22"/>
          <w:szCs w:val="22"/>
        </w:rPr>
        <w:t xml:space="preserve"> 8</w:t>
      </w:r>
      <w:r w:rsidRPr="00E9252C">
        <w:rPr>
          <w:rFonts w:ascii="Calibri" w:hAnsi="Calibri" w:cstheme="minorHAnsi"/>
          <w:bCs/>
          <w:sz w:val="22"/>
          <w:szCs w:val="22"/>
        </w:rPr>
        <w:t xml:space="preserve">: </w:t>
      </w:r>
      <w:r w:rsidRPr="00E9252C">
        <w:rPr>
          <w:rFonts w:ascii="Calibri" w:hAnsi="Calibri" w:cstheme="minorHAnsi"/>
          <w:b w:val="0"/>
          <w:bCs/>
          <w:sz w:val="22"/>
          <w:szCs w:val="22"/>
        </w:rPr>
        <w:t>Rural scenario can be removed in FR2 NTN-TN coexistence analysis</w:t>
      </w:r>
    </w:p>
    <w:p w14:paraId="50355B09" w14:textId="77777777" w:rsidR="007706CC" w:rsidRPr="00E9252C" w:rsidRDefault="007706CC" w:rsidP="00E9252C">
      <w:pPr>
        <w:pStyle w:val="TH"/>
        <w:jc w:val="both"/>
        <w:rPr>
          <w:rFonts w:ascii="Calibri" w:hAnsi="Calibri"/>
          <w:b w:val="0"/>
          <w:sz w:val="22"/>
          <w:szCs w:val="22"/>
        </w:rPr>
      </w:pPr>
      <w:r w:rsidRPr="00E9252C">
        <w:rPr>
          <w:rFonts w:ascii="Calibri" w:hAnsi="Calibri"/>
          <w:sz w:val="22"/>
          <w:szCs w:val="22"/>
        </w:rPr>
        <w:t>Proposal</w:t>
      </w:r>
      <w:r w:rsidR="00356E56" w:rsidRPr="00356E56">
        <w:rPr>
          <w:rFonts w:ascii="Calibri" w:hAnsi="Calibri"/>
          <w:sz w:val="22"/>
          <w:szCs w:val="22"/>
        </w:rPr>
        <w:t xml:space="preserve"> 9</w:t>
      </w:r>
      <w:r w:rsidRPr="00E9252C">
        <w:rPr>
          <w:rFonts w:ascii="Calibri" w:hAnsi="Calibri"/>
          <w:sz w:val="22"/>
          <w:szCs w:val="22"/>
        </w:rPr>
        <w:t xml:space="preserve">: </w:t>
      </w:r>
      <w:r w:rsidRPr="00E9252C">
        <w:rPr>
          <w:rFonts w:ascii="Calibri" w:hAnsi="Calibri"/>
          <w:b w:val="0"/>
          <w:sz w:val="22"/>
          <w:szCs w:val="22"/>
        </w:rPr>
        <w:t>Indoor scenario can be removed or at least deprioritised in FR2 NTN-TN coexistence analysis.</w:t>
      </w:r>
    </w:p>
    <w:p w14:paraId="29F256F1" w14:textId="77777777" w:rsidR="00D56C0F" w:rsidRPr="00E9252C" w:rsidRDefault="007706CC" w:rsidP="00E9252C">
      <w:pPr>
        <w:pStyle w:val="TH"/>
        <w:jc w:val="both"/>
        <w:rPr>
          <w:rFonts w:ascii="Calibri" w:hAnsi="Calibri" w:cstheme="minorHAnsi"/>
          <w:b w:val="0"/>
          <w:bCs/>
          <w:sz w:val="22"/>
          <w:szCs w:val="22"/>
        </w:rPr>
      </w:pPr>
      <w:r w:rsidRPr="0069069B">
        <w:rPr>
          <w:rFonts w:ascii="Calibri" w:hAnsi="Calibri" w:cstheme="minorHAnsi"/>
          <w:bCs/>
          <w:sz w:val="22"/>
          <w:szCs w:val="22"/>
          <w:lang w:eastAsia="fr-FR"/>
        </w:rPr>
        <w:t>Proposal</w:t>
      </w:r>
      <w:r w:rsidR="00443D02" w:rsidRPr="0069069B">
        <w:rPr>
          <w:rFonts w:ascii="Calibri" w:hAnsi="Calibri" w:cstheme="minorHAnsi"/>
          <w:bCs/>
          <w:sz w:val="22"/>
          <w:szCs w:val="22"/>
          <w:lang w:eastAsia="fr-FR"/>
        </w:rPr>
        <w:t xml:space="preserve"> 1</w:t>
      </w:r>
      <w:r w:rsidR="00356E56" w:rsidRPr="0069069B">
        <w:rPr>
          <w:rFonts w:ascii="Calibri" w:hAnsi="Calibri" w:cstheme="minorHAnsi"/>
          <w:bCs/>
          <w:sz w:val="22"/>
          <w:szCs w:val="22"/>
          <w:lang w:eastAsia="fr-FR"/>
        </w:rPr>
        <w:t>0</w:t>
      </w:r>
      <w:r w:rsidRPr="00E9252C">
        <w:rPr>
          <w:rFonts w:ascii="Calibri" w:hAnsi="Calibri" w:cstheme="minorHAnsi"/>
          <w:bCs/>
          <w:lang w:eastAsia="fr-FR"/>
        </w:rPr>
        <w:t>:</w:t>
      </w:r>
      <w:r w:rsidR="00634E7C" w:rsidRPr="00E84FD6">
        <w:rPr>
          <w:rFonts w:ascii="Calibri" w:hAnsi="Calibri"/>
        </w:rPr>
        <w:t xml:space="preserve"> </w:t>
      </w:r>
      <w:r w:rsidR="00634E7C" w:rsidRPr="0025426A">
        <w:rPr>
          <w:rFonts w:ascii="Calibri" w:hAnsi="Calibri"/>
          <w:b w:val="0"/>
          <w:sz w:val="22"/>
          <w:szCs w:val="22"/>
        </w:rPr>
        <w:t>RAN</w:t>
      </w:r>
      <w:r w:rsidRPr="0025426A">
        <w:rPr>
          <w:rFonts w:ascii="Calibri" w:hAnsi="Calibri"/>
          <w:b w:val="0"/>
          <w:sz w:val="22"/>
          <w:szCs w:val="22"/>
        </w:rPr>
        <w:t xml:space="preserve"> can limit scope to scenarios with Urban Macro and Dense Urban TN deployment for NTN-TN coexistence analysis in FR2.</w:t>
      </w:r>
    </w:p>
    <w:p w14:paraId="50FE19E4" w14:textId="77777777" w:rsidR="007706CC" w:rsidRPr="00E9252C" w:rsidRDefault="007706CC" w:rsidP="00E9252C">
      <w:pPr>
        <w:jc w:val="both"/>
        <w:rPr>
          <w:rFonts w:ascii="Calibri" w:hAnsi="Calibri" w:cstheme="minorHAnsi"/>
          <w:bCs/>
        </w:rPr>
      </w:pPr>
      <w:r w:rsidRPr="00E9252C">
        <w:rPr>
          <w:rFonts w:ascii="Calibri" w:hAnsi="Calibri" w:cstheme="minorHAnsi"/>
          <w:b/>
          <w:bCs/>
        </w:rPr>
        <w:t xml:space="preserve">Proposal </w:t>
      </w:r>
      <w:r w:rsidR="00356E56" w:rsidRPr="00356E56">
        <w:rPr>
          <w:rFonts w:ascii="Calibri" w:hAnsi="Calibri" w:cstheme="minorHAnsi"/>
          <w:b/>
          <w:bCs/>
        </w:rPr>
        <w:t>11</w:t>
      </w:r>
      <w:r w:rsidRPr="00E9252C">
        <w:rPr>
          <w:rFonts w:ascii="Calibri" w:hAnsi="Calibri" w:cstheme="minorHAnsi"/>
          <w:bCs/>
        </w:rPr>
        <w:t>: For satellite Ka band NTN DL (</w:t>
      </w:r>
      <w:r w:rsidRPr="00E9252C">
        <w:rPr>
          <w:rFonts w:ascii="Calibri" w:hAnsi="Calibri"/>
          <w:bCs/>
        </w:rPr>
        <w:t>17.3 – 20.2 GHz)</w:t>
      </w:r>
      <w:r w:rsidRPr="00E9252C">
        <w:rPr>
          <w:rFonts w:ascii="Calibri" w:hAnsi="Calibri" w:cstheme="minorHAnsi"/>
          <w:bCs/>
        </w:rPr>
        <w:t xml:space="preserve">, </w:t>
      </w:r>
      <w:r w:rsidR="00634E7C" w:rsidRPr="00F267EC">
        <w:rPr>
          <w:rFonts w:ascii="Calibri" w:hAnsi="Calibri" w:cstheme="minorHAnsi"/>
          <w:bCs/>
        </w:rPr>
        <w:t>RAN</w:t>
      </w:r>
      <w:r w:rsidRPr="00E9252C">
        <w:rPr>
          <w:rFonts w:ascii="Calibri" w:hAnsi="Calibri" w:cstheme="minorHAnsi"/>
          <w:bCs/>
        </w:rPr>
        <w:t xml:space="preserve"> doesn’t need to undertake any coexistence study with TN FR2. </w:t>
      </w:r>
    </w:p>
    <w:p w14:paraId="3F341E77" w14:textId="77777777" w:rsidR="007706CC" w:rsidRPr="00E9252C" w:rsidRDefault="007706CC" w:rsidP="00E9252C">
      <w:pPr>
        <w:jc w:val="both"/>
        <w:rPr>
          <w:rFonts w:ascii="Calibri" w:hAnsi="Calibri" w:cstheme="minorHAnsi"/>
          <w:b/>
          <w:bCs/>
        </w:rPr>
      </w:pPr>
      <w:r w:rsidRPr="00E9252C">
        <w:rPr>
          <w:rFonts w:ascii="Calibri" w:hAnsi="Calibri" w:cstheme="minorHAnsi"/>
          <w:b/>
          <w:bCs/>
        </w:rPr>
        <w:t xml:space="preserve">Proposal </w:t>
      </w:r>
      <w:r w:rsidR="00356E56" w:rsidRPr="00356E56">
        <w:rPr>
          <w:rFonts w:ascii="Calibri" w:hAnsi="Calibri" w:cstheme="minorHAnsi"/>
          <w:b/>
          <w:bCs/>
        </w:rPr>
        <w:t>12</w:t>
      </w:r>
      <w:r w:rsidRPr="00E9252C">
        <w:rPr>
          <w:rFonts w:ascii="Calibri" w:hAnsi="Calibri" w:cstheme="minorHAnsi"/>
          <w:b/>
          <w:bCs/>
        </w:rPr>
        <w:t xml:space="preserve">: </w:t>
      </w:r>
      <w:r w:rsidRPr="00E9252C">
        <w:rPr>
          <w:rFonts w:ascii="Calibri" w:hAnsi="Calibri" w:cstheme="minorHAnsi"/>
          <w:bCs/>
        </w:rPr>
        <w:t>For the purpose of specifying NTN BS (i.e. satellite TX) RF requirements in satellite Ka band DL (</w:t>
      </w:r>
      <w:r w:rsidRPr="00E9252C">
        <w:rPr>
          <w:rFonts w:ascii="Calibri" w:hAnsi="Calibri"/>
          <w:bCs/>
        </w:rPr>
        <w:t>17.3 – 20.2 GHz)</w:t>
      </w:r>
      <w:r w:rsidR="00634E7C" w:rsidRPr="00F267EC">
        <w:rPr>
          <w:rFonts w:ascii="Calibri" w:hAnsi="Calibri" w:cstheme="minorHAnsi"/>
          <w:bCs/>
        </w:rPr>
        <w:t>, RAN</w:t>
      </w:r>
      <w:r w:rsidRPr="00E9252C">
        <w:rPr>
          <w:rFonts w:ascii="Calibri" w:hAnsi="Calibri" w:cstheme="minorHAnsi"/>
          <w:bCs/>
        </w:rPr>
        <w:t xml:space="preserve"> can use ITU-R, ETSI and appropriate regional regulatory sources as reference.</w:t>
      </w:r>
    </w:p>
    <w:p w14:paraId="4D817E84" w14:textId="56FE78AA" w:rsidR="00B97109" w:rsidRDefault="00B97109" w:rsidP="00B97109">
      <w:pPr>
        <w:jc w:val="both"/>
        <w:rPr>
          <w:lang w:val="fr-FR"/>
        </w:rPr>
      </w:pPr>
      <w:r>
        <w:rPr>
          <w:b/>
          <w:bCs/>
        </w:rPr>
        <w:t xml:space="preserve">Proposal 13: </w:t>
      </w:r>
      <w:r w:rsidRPr="0025426A">
        <w:rPr>
          <w:bCs/>
        </w:rPr>
        <w:t>Other bands allocated to satellite communications above 7 GHz (i.e. Ku band, Q/V band) should benefit from similar treatment and considered as FR2</w:t>
      </w:r>
      <w:r w:rsidR="00735D9A">
        <w:rPr>
          <w:bCs/>
        </w:rPr>
        <w:t>, similar to</w:t>
      </w:r>
      <w:r w:rsidRPr="0025426A">
        <w:rPr>
          <w:bCs/>
        </w:rPr>
        <w:t xml:space="preserve"> Ka band</w:t>
      </w:r>
      <w:r w:rsidR="00735D9A">
        <w:rPr>
          <w:bCs/>
        </w:rPr>
        <w:t>,</w:t>
      </w:r>
      <w:r w:rsidRPr="0025426A">
        <w:rPr>
          <w:bCs/>
        </w:rPr>
        <w:t xml:space="preserve"> when proposed for dedicated Work Item.</w:t>
      </w:r>
    </w:p>
    <w:p w14:paraId="7BDF6C22" w14:textId="77777777" w:rsidR="007706CC" w:rsidRPr="00CA6B34" w:rsidRDefault="007706CC" w:rsidP="00F84642">
      <w:pPr>
        <w:spacing w:after="0"/>
        <w:rPr>
          <w:rFonts w:cstheme="minorHAnsi"/>
          <w:lang w:eastAsia="fr-FR"/>
        </w:rPr>
      </w:pPr>
    </w:p>
    <w:p w14:paraId="454460EB" w14:textId="77777777" w:rsidR="00016832" w:rsidRDefault="00016832" w:rsidP="00480443"/>
    <w:p w14:paraId="6B46E7EB" w14:textId="77777777" w:rsidR="00405CF4" w:rsidRPr="00DD1389" w:rsidRDefault="00EB5F17" w:rsidP="00EB5F17">
      <w:pPr>
        <w:pStyle w:val="Heading1"/>
      </w:pPr>
      <w:r>
        <w:t>Reference</w:t>
      </w:r>
    </w:p>
    <w:p w14:paraId="1A3C0654" w14:textId="77777777" w:rsidR="00254429" w:rsidRPr="00254429" w:rsidRDefault="00254429" w:rsidP="00254429">
      <w:pPr>
        <w:pStyle w:val="ListParagraph"/>
        <w:numPr>
          <w:ilvl w:val="0"/>
          <w:numId w:val="39"/>
        </w:numPr>
        <w:rPr>
          <w:rFonts w:cstheme="minorHAnsi"/>
          <w:bCs/>
          <w:iCs/>
          <w:lang w:val="en-GB" w:eastAsia="zh-CN"/>
        </w:rPr>
      </w:pPr>
      <w:r w:rsidRPr="00254429">
        <w:rPr>
          <w:rFonts w:cstheme="minorHAnsi"/>
          <w:bCs/>
          <w:iCs/>
          <w:lang w:val="en-GB" w:eastAsia="zh-CN"/>
        </w:rPr>
        <w:t xml:space="preserve">R4-2006894, “Possible Bands for NR Satellite Networks,” Thales, Hughes Network Systems ltd., Intelsat, WG4 Meeting #95-e, </w:t>
      </w:r>
      <w:r w:rsidR="00AA5B86" w:rsidRPr="00254429">
        <w:rPr>
          <w:rFonts w:cstheme="minorHAnsi"/>
          <w:bCs/>
          <w:iCs/>
          <w:lang w:val="en-GB" w:eastAsia="zh-CN"/>
        </w:rPr>
        <w:t>June</w:t>
      </w:r>
      <w:r w:rsidRPr="00254429">
        <w:rPr>
          <w:rFonts w:cstheme="minorHAnsi"/>
          <w:bCs/>
          <w:iCs/>
          <w:lang w:val="en-GB" w:eastAsia="zh-CN"/>
        </w:rPr>
        <w:t xml:space="preserve"> 2020</w:t>
      </w:r>
    </w:p>
    <w:p w14:paraId="0BCB83FC" w14:textId="77777777" w:rsidR="00C6255F" w:rsidRPr="000648EA" w:rsidRDefault="00C6255F" w:rsidP="00231074">
      <w:pPr>
        <w:pStyle w:val="ListParagraph"/>
        <w:numPr>
          <w:ilvl w:val="0"/>
          <w:numId w:val="39"/>
        </w:numPr>
        <w:spacing w:before="100" w:beforeAutospacing="1" w:after="60" w:line="240" w:lineRule="auto"/>
        <w:contextualSpacing w:val="0"/>
        <w:rPr>
          <w:rFonts w:cstheme="minorHAnsi"/>
          <w:bCs/>
          <w:iCs/>
          <w:lang w:val="en-GB" w:eastAsia="zh-CN"/>
        </w:rPr>
      </w:pPr>
      <w:r>
        <w:t xml:space="preserve">R4-2103877 </w:t>
      </w:r>
      <w:r w:rsidR="007836DC">
        <w:t>– WF RAN 98-e</w:t>
      </w:r>
    </w:p>
    <w:p w14:paraId="19930841" w14:textId="77777777" w:rsidR="00033E61" w:rsidRDefault="00033E61" w:rsidP="00231074">
      <w:pPr>
        <w:pStyle w:val="ListParagraph"/>
        <w:numPr>
          <w:ilvl w:val="0"/>
          <w:numId w:val="39"/>
        </w:numPr>
        <w:spacing w:before="100" w:beforeAutospacing="1" w:after="60" w:line="240" w:lineRule="auto"/>
        <w:contextualSpacing w:val="0"/>
        <w:rPr>
          <w:rFonts w:cstheme="minorHAnsi"/>
          <w:bCs/>
          <w:iCs/>
          <w:lang w:val="en-GB" w:eastAsia="zh-CN"/>
        </w:rPr>
      </w:pPr>
      <w:r w:rsidRPr="00033E61">
        <w:rPr>
          <w:rFonts w:cstheme="minorHAnsi"/>
          <w:bCs/>
          <w:iCs/>
          <w:lang w:val="en-GB" w:eastAsia="zh-CN"/>
        </w:rPr>
        <w:t>RP-</w:t>
      </w:r>
      <w:r w:rsidR="00946041" w:rsidRPr="00033E61">
        <w:rPr>
          <w:rFonts w:cstheme="minorHAnsi"/>
          <w:bCs/>
          <w:iCs/>
          <w:lang w:val="en-GB" w:eastAsia="zh-CN"/>
        </w:rPr>
        <w:t>202908,</w:t>
      </w:r>
      <w:r w:rsidR="00E3340A">
        <w:rPr>
          <w:rFonts w:cstheme="minorHAnsi"/>
          <w:bCs/>
          <w:iCs/>
          <w:lang w:val="en-GB" w:eastAsia="zh-CN"/>
        </w:rPr>
        <w:t xml:space="preserve"> “</w:t>
      </w:r>
      <w:r w:rsidR="001B44FE" w:rsidRPr="001B44FE">
        <w:rPr>
          <w:rFonts w:cstheme="minorHAnsi"/>
          <w:bCs/>
          <w:iCs/>
          <w:lang w:val="en-GB" w:eastAsia="zh-CN"/>
        </w:rPr>
        <w:t>Solutions for NR to support non-terrestrial networks (NTN)</w:t>
      </w:r>
      <w:r w:rsidR="00946041">
        <w:rPr>
          <w:rFonts w:cstheme="minorHAnsi"/>
          <w:bCs/>
          <w:iCs/>
          <w:lang w:val="en-GB" w:eastAsia="zh-CN"/>
        </w:rPr>
        <w:t>” WID Revised</w:t>
      </w:r>
    </w:p>
    <w:p w14:paraId="38B077CF" w14:textId="77777777" w:rsidR="00283331" w:rsidRPr="00283331" w:rsidRDefault="00620FF5" w:rsidP="00283331">
      <w:pPr>
        <w:pStyle w:val="ListParagraph"/>
        <w:numPr>
          <w:ilvl w:val="0"/>
          <w:numId w:val="39"/>
        </w:numPr>
        <w:rPr>
          <w:rFonts w:cstheme="minorHAnsi"/>
          <w:bCs/>
          <w:iCs/>
          <w:lang w:val="en-GB" w:eastAsia="zh-CN"/>
        </w:rPr>
      </w:pPr>
      <w:r>
        <w:rPr>
          <w:rFonts w:cstheme="minorHAnsi"/>
          <w:bCs/>
          <w:iCs/>
          <w:lang w:val="en-GB" w:eastAsia="zh-CN"/>
        </w:rPr>
        <w:t xml:space="preserve">3GPP </w:t>
      </w:r>
      <w:r w:rsidR="00033E61" w:rsidRPr="00283331">
        <w:rPr>
          <w:rFonts w:cstheme="minorHAnsi"/>
          <w:bCs/>
          <w:iCs/>
          <w:lang w:val="en-GB" w:eastAsia="zh-CN"/>
        </w:rPr>
        <w:t>TR 38.821</w:t>
      </w:r>
      <w:r w:rsidR="00283331">
        <w:rPr>
          <w:rFonts w:cstheme="minorHAnsi"/>
          <w:bCs/>
          <w:iCs/>
          <w:lang w:val="en-GB" w:eastAsia="zh-CN"/>
        </w:rPr>
        <w:t xml:space="preserve"> </w:t>
      </w:r>
      <w:r w:rsidR="00283331" w:rsidRPr="00283331">
        <w:rPr>
          <w:rFonts w:cstheme="minorHAnsi"/>
          <w:bCs/>
          <w:iCs/>
          <w:lang w:val="en-GB" w:eastAsia="zh-CN"/>
        </w:rPr>
        <w:t>“Solutions for NR to support non-terrestrial networks (NTN), (Release 16)”</w:t>
      </w:r>
    </w:p>
    <w:p w14:paraId="64F12400" w14:textId="77777777" w:rsidR="006F3E9B" w:rsidRPr="00946041" w:rsidRDefault="00322FF7" w:rsidP="006F3E9B">
      <w:pPr>
        <w:pStyle w:val="ListParagraph"/>
        <w:numPr>
          <w:ilvl w:val="0"/>
          <w:numId w:val="39"/>
        </w:numPr>
        <w:spacing w:before="100" w:beforeAutospacing="1" w:after="60" w:line="240" w:lineRule="auto"/>
        <w:contextualSpacing w:val="0"/>
        <w:rPr>
          <w:rStyle w:val="Hyperlink"/>
          <w:rFonts w:cstheme="minorHAnsi"/>
          <w:b/>
          <w:color w:val="auto"/>
          <w:lang w:val="en-GB" w:eastAsia="zh-CN"/>
        </w:rPr>
      </w:pPr>
      <w:hyperlink r:id="rId16" w:history="1">
        <w:r w:rsidR="006F3E9B" w:rsidRPr="000A7EE3">
          <w:rPr>
            <w:rStyle w:val="Hyperlink"/>
            <w:rFonts w:cstheme="minorHAnsi"/>
          </w:rPr>
          <w:t>https://www.itu.int/en/mediacentre/backgrounders/Pages/Earth-stations-in-motion-satellite-issues.aspx</w:t>
        </w:r>
      </w:hyperlink>
    </w:p>
    <w:p w14:paraId="11FF121C" w14:textId="77777777" w:rsidR="00946041" w:rsidRDefault="00946041" w:rsidP="00946041">
      <w:pPr>
        <w:pStyle w:val="ListParagraph"/>
        <w:numPr>
          <w:ilvl w:val="0"/>
          <w:numId w:val="39"/>
        </w:numPr>
        <w:spacing w:before="100" w:beforeAutospacing="1" w:after="60" w:line="240" w:lineRule="auto"/>
        <w:contextualSpacing w:val="0"/>
        <w:rPr>
          <w:rFonts w:cstheme="minorHAnsi"/>
          <w:bCs/>
          <w:iCs/>
          <w:lang w:val="en-GB" w:eastAsia="zh-CN"/>
        </w:rPr>
      </w:pPr>
      <w:r w:rsidRPr="00C70676">
        <w:rPr>
          <w:rFonts w:eastAsia="PMingLiU" w:cstheme="minorHAnsi"/>
          <w:lang w:val="en-GB" w:eastAsia="zh-TW"/>
        </w:rPr>
        <w:t>RP-202732</w:t>
      </w:r>
      <w:r>
        <w:rPr>
          <w:rFonts w:eastAsia="PMingLiU" w:cstheme="minorHAnsi"/>
          <w:lang w:val="en-GB" w:eastAsia="zh-TW"/>
        </w:rPr>
        <w:t>, “</w:t>
      </w:r>
      <w:r w:rsidRPr="00580D78">
        <w:rPr>
          <w:rFonts w:eastAsia="PMingLiU" w:cstheme="minorHAnsi"/>
          <w:lang w:val="en-GB" w:eastAsia="zh-TW"/>
        </w:rPr>
        <w:t>About fixed and moving platform mounted device for NTN</w:t>
      </w:r>
      <w:r>
        <w:rPr>
          <w:rFonts w:eastAsia="PMingLiU" w:cstheme="minorHAnsi"/>
          <w:lang w:val="en-GB" w:eastAsia="zh-TW"/>
        </w:rPr>
        <w:t>”</w:t>
      </w:r>
    </w:p>
    <w:p w14:paraId="01666430" w14:textId="77777777" w:rsidR="00A73289" w:rsidRDefault="00620FF5" w:rsidP="007F5DFF">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 xml:space="preserve">3GPP </w:t>
      </w:r>
      <w:r w:rsidR="00A73289">
        <w:rPr>
          <w:rFonts w:cstheme="minorHAnsi"/>
          <w:bCs/>
          <w:iCs/>
          <w:lang w:val="en-GB" w:eastAsia="zh-CN"/>
        </w:rPr>
        <w:t>TR 38.820, “7 - 24 GHz frequency range”, V16.0.0, June 2020</w:t>
      </w:r>
    </w:p>
    <w:p w14:paraId="501E38C3" w14:textId="77777777" w:rsidR="00172458" w:rsidRPr="00172458" w:rsidRDefault="00172458" w:rsidP="00172458">
      <w:pPr>
        <w:pStyle w:val="ListParagraph"/>
        <w:numPr>
          <w:ilvl w:val="0"/>
          <w:numId w:val="39"/>
        </w:numPr>
        <w:spacing w:before="100" w:beforeAutospacing="1" w:after="60" w:line="240" w:lineRule="auto"/>
        <w:rPr>
          <w:rFonts w:cstheme="minorHAnsi"/>
          <w:bCs/>
          <w:iCs/>
          <w:lang w:val="en-GB" w:eastAsia="zh-CN"/>
        </w:rPr>
      </w:pPr>
      <w:r w:rsidRPr="00172458">
        <w:rPr>
          <w:rFonts w:cstheme="minorHAnsi"/>
          <w:bCs/>
          <w:iCs/>
          <w:lang w:val="en-GB" w:eastAsia="zh-CN"/>
        </w:rPr>
        <w:t>ETSI EN 303 978 “Satellite Earth Stations and Systems (SES); Harmonized EN for Earth Stations on Mobile Platforms (ESOMP) transmitting towards satellites in geostationary orbit in the 27,5 GHz to 30,0 GHz frequency bands covering the essential requirements of article 3.2 of the R&amp;TTE Directive”</w:t>
      </w:r>
    </w:p>
    <w:p w14:paraId="32747AF1" w14:textId="77777777" w:rsidR="00172458" w:rsidRDefault="00172458" w:rsidP="00172458">
      <w:pPr>
        <w:pStyle w:val="ListParagraph"/>
        <w:numPr>
          <w:ilvl w:val="0"/>
          <w:numId w:val="39"/>
        </w:numPr>
        <w:spacing w:before="100" w:beforeAutospacing="1" w:after="60" w:line="240" w:lineRule="auto"/>
        <w:rPr>
          <w:rFonts w:cstheme="minorHAnsi"/>
          <w:bCs/>
          <w:iCs/>
          <w:lang w:val="en-GB" w:eastAsia="zh-CN"/>
        </w:rPr>
      </w:pPr>
      <w:r w:rsidRPr="00172458">
        <w:rPr>
          <w:rFonts w:cstheme="minorHAnsi"/>
          <w:bCs/>
          <w:iCs/>
          <w:lang w:val="en-GB" w:eastAsia="zh-CN"/>
        </w:rPr>
        <w:t>ETSI EN 303 979 “Satellite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w:t>
      </w:r>
    </w:p>
    <w:p w14:paraId="399D3649" w14:textId="77777777" w:rsidR="00DF0535" w:rsidRDefault="00DF0535" w:rsidP="00DF0535">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 xml:space="preserve">WRC Resolution 156 (WRC-15); </w:t>
      </w:r>
      <w:r w:rsidRPr="00DF0535">
        <w:rPr>
          <w:rFonts w:cstheme="minorHAnsi"/>
          <w:bCs/>
          <w:iCs/>
          <w:lang w:val="en-GB" w:eastAsia="zh-CN"/>
        </w:rPr>
        <w:t>https://www.itu.int/dms_pub/itu-r/oth/0C/0A/R0C0A00000F0047PDFE.pdf</w:t>
      </w:r>
    </w:p>
    <w:p w14:paraId="5F3853FA" w14:textId="77777777" w:rsidR="00DF0535" w:rsidRDefault="00DF0535" w:rsidP="00DF0535">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 xml:space="preserve">WRC Resolution 169 (WRC-19); </w:t>
      </w:r>
      <w:hyperlink r:id="rId17" w:history="1">
        <w:r w:rsidRPr="0069710B">
          <w:rPr>
            <w:rStyle w:val="Hyperlink"/>
            <w:rFonts w:cstheme="minorHAnsi"/>
            <w:bCs/>
            <w:iCs/>
            <w:lang w:val="en-GB" w:eastAsia="zh-CN"/>
          </w:rPr>
          <w:t>https://www.itu.int/dms_pub/itu-r/oth/0C/0A/R0C0A00000F0056PDFE.pdf</w:t>
        </w:r>
      </w:hyperlink>
      <w:r>
        <w:rPr>
          <w:rFonts w:cstheme="minorHAnsi"/>
          <w:bCs/>
          <w:iCs/>
          <w:lang w:val="en-GB" w:eastAsia="zh-CN"/>
        </w:rPr>
        <w:t xml:space="preserve"> </w:t>
      </w:r>
    </w:p>
    <w:p w14:paraId="0EFA8646" w14:textId="77777777" w:rsidR="00DF0535" w:rsidRDefault="00DF0535" w:rsidP="00DF0535">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 xml:space="preserve">WRC Resolution 173 (WRC-19); </w:t>
      </w:r>
      <w:hyperlink r:id="rId18" w:history="1">
        <w:r w:rsidRPr="0069710B">
          <w:rPr>
            <w:rStyle w:val="Hyperlink"/>
            <w:rFonts w:cstheme="minorHAnsi"/>
            <w:bCs/>
            <w:iCs/>
            <w:lang w:val="en-GB" w:eastAsia="zh-CN"/>
          </w:rPr>
          <w:t>https://www.itu.int/dms_pub/itu-r/oth/0c/0a/R0C0A00000D0016PDFE.pdf</w:t>
        </w:r>
      </w:hyperlink>
      <w:r>
        <w:rPr>
          <w:rFonts w:cstheme="minorHAnsi"/>
          <w:bCs/>
          <w:iCs/>
          <w:lang w:val="en-GB" w:eastAsia="zh-CN"/>
        </w:rPr>
        <w:t xml:space="preserve"> </w:t>
      </w:r>
    </w:p>
    <w:p w14:paraId="3BFDE6D9" w14:textId="77777777" w:rsidR="00DF0535" w:rsidRDefault="00322FF7" w:rsidP="00D06457">
      <w:pPr>
        <w:pStyle w:val="ListParagraph"/>
        <w:numPr>
          <w:ilvl w:val="0"/>
          <w:numId w:val="39"/>
        </w:numPr>
        <w:spacing w:before="100" w:beforeAutospacing="1" w:after="60" w:line="240" w:lineRule="auto"/>
        <w:rPr>
          <w:rFonts w:cstheme="minorHAnsi"/>
          <w:bCs/>
          <w:iCs/>
          <w:lang w:val="en-GB" w:eastAsia="zh-CN"/>
        </w:rPr>
      </w:pPr>
      <w:hyperlink r:id="rId19" w:history="1">
        <w:r w:rsidR="00D06457" w:rsidRPr="0069710B">
          <w:rPr>
            <w:rStyle w:val="Hyperlink"/>
            <w:rFonts w:cstheme="minorHAnsi"/>
            <w:bCs/>
            <w:iCs/>
            <w:lang w:val="en-GB" w:eastAsia="zh-CN"/>
          </w:rPr>
          <w:t>https://www.fortunebusinessinsights.com/industry-reports/connected-aircraft-market-101</w:t>
        </w:r>
      </w:hyperlink>
      <w:r w:rsidR="00D06457" w:rsidRPr="00D06457">
        <w:rPr>
          <w:rFonts w:cstheme="minorHAnsi"/>
          <w:bCs/>
          <w:iCs/>
          <w:lang w:val="en-GB" w:eastAsia="zh-CN"/>
        </w:rPr>
        <w:t>954</w:t>
      </w:r>
    </w:p>
    <w:p w14:paraId="168DEE3F" w14:textId="77777777" w:rsidR="00D06457" w:rsidRDefault="00322FF7" w:rsidP="00D06457">
      <w:pPr>
        <w:pStyle w:val="NormalWeb"/>
        <w:numPr>
          <w:ilvl w:val="0"/>
          <w:numId w:val="39"/>
        </w:numPr>
        <w:spacing w:before="0" w:beforeAutospacing="0" w:after="0" w:afterAutospacing="0"/>
        <w:rPr>
          <w:rFonts w:ascii="Calibri" w:hAnsi="Calibri"/>
          <w:color w:val="000000"/>
          <w:sz w:val="22"/>
          <w:szCs w:val="22"/>
        </w:rPr>
      </w:pPr>
      <w:hyperlink r:id="rId20" w:history="1">
        <w:r w:rsidR="00D06457">
          <w:rPr>
            <w:rStyle w:val="Hyperlink"/>
            <w:rFonts w:ascii="Calibri" w:hAnsi="Calibri"/>
            <w:sz w:val="22"/>
            <w:szCs w:val="22"/>
          </w:rPr>
          <w:t>https://www.prnewswire.com/news-releases/connected-ships-market-size-worth-9-1-billion-by-2027--cagr-5-4-grand-view-research-inc-301047337.html</w:t>
        </w:r>
      </w:hyperlink>
    </w:p>
    <w:p w14:paraId="5DF9B170" w14:textId="77777777" w:rsidR="00D06457" w:rsidRPr="00172458" w:rsidRDefault="0095779D" w:rsidP="00D06457">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TR 38.811</w:t>
      </w:r>
    </w:p>
    <w:p w14:paraId="4F190BA0" w14:textId="77777777" w:rsidR="000A4E25" w:rsidRPr="000A4E25" w:rsidRDefault="000A4E25" w:rsidP="000A4E25">
      <w:pPr>
        <w:spacing w:before="100" w:beforeAutospacing="1" w:after="60" w:line="240" w:lineRule="auto"/>
        <w:rPr>
          <w:rFonts w:cstheme="minorHAnsi"/>
          <w:bCs/>
          <w:iCs/>
          <w:lang w:val="en-GB" w:eastAsia="zh-CN"/>
        </w:rPr>
      </w:pPr>
    </w:p>
    <w:p w14:paraId="0EDFCF39" w14:textId="77777777" w:rsidR="00724B78" w:rsidRDefault="00724B78" w:rsidP="005667CB">
      <w:pPr>
        <w:pStyle w:val="ListParagraph"/>
        <w:spacing w:before="100" w:beforeAutospacing="1" w:after="60" w:line="240" w:lineRule="auto"/>
        <w:ind w:left="360"/>
        <w:jc w:val="center"/>
        <w:rPr>
          <w:rFonts w:cstheme="minorHAnsi"/>
          <w:b/>
          <w:iCs/>
          <w:sz w:val="32"/>
          <w:szCs w:val="32"/>
          <w:lang w:val="en-GB"/>
        </w:rPr>
      </w:pPr>
    </w:p>
    <w:p w14:paraId="3B1D65DF" w14:textId="77777777" w:rsidR="005667CB" w:rsidRPr="005667CB" w:rsidRDefault="00724B78" w:rsidP="005667CB">
      <w:pPr>
        <w:pStyle w:val="ListParagraph"/>
        <w:spacing w:before="100" w:beforeAutospacing="1" w:after="60" w:line="240" w:lineRule="auto"/>
        <w:ind w:left="360"/>
        <w:jc w:val="center"/>
        <w:rPr>
          <w:rFonts w:cstheme="minorHAnsi"/>
          <w:b/>
          <w:iCs/>
          <w:sz w:val="32"/>
          <w:szCs w:val="32"/>
          <w:lang w:val="en-GB" w:eastAsia="zh-CN"/>
        </w:rPr>
      </w:pPr>
      <w:r>
        <w:rPr>
          <w:rFonts w:cstheme="minorHAnsi"/>
          <w:b/>
          <w:iCs/>
          <w:sz w:val="32"/>
          <w:szCs w:val="32"/>
          <w:lang w:val="en-GB"/>
        </w:rPr>
        <w:t>-</w:t>
      </w:r>
      <w:r w:rsidR="005667CB" w:rsidRPr="005667CB">
        <w:rPr>
          <w:rFonts w:cstheme="minorHAnsi"/>
          <w:b/>
          <w:iCs/>
          <w:sz w:val="32"/>
          <w:szCs w:val="32"/>
          <w:lang w:val="en-GB"/>
        </w:rPr>
        <w:t>END</w:t>
      </w:r>
      <w:r>
        <w:rPr>
          <w:rFonts w:cstheme="minorHAnsi"/>
          <w:b/>
          <w:iCs/>
          <w:sz w:val="32"/>
          <w:szCs w:val="32"/>
          <w:lang w:val="en-GB"/>
        </w:rPr>
        <w:t>-</w:t>
      </w:r>
    </w:p>
    <w:p w14:paraId="71D9DD46" w14:textId="77777777" w:rsidR="005667CB" w:rsidRPr="005667CB" w:rsidRDefault="005667CB" w:rsidP="005667CB">
      <w:pPr>
        <w:spacing w:before="100" w:beforeAutospacing="1" w:after="60" w:line="240" w:lineRule="auto"/>
        <w:jc w:val="center"/>
        <w:rPr>
          <w:rStyle w:val="Hyperlink"/>
          <w:rFonts w:cstheme="minorHAnsi"/>
          <w:b/>
          <w:i/>
          <w:color w:val="auto"/>
          <w:lang w:val="en-GB" w:eastAsia="zh-CN"/>
        </w:rPr>
      </w:pPr>
    </w:p>
    <w:sectPr w:rsidR="005667CB" w:rsidRPr="005667CB" w:rsidSect="002E7049">
      <w:footerReference w:type="default" r:id="rId2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2A98B" w14:textId="77777777" w:rsidR="00322FF7" w:rsidRDefault="00322FF7" w:rsidP="000519FA">
      <w:pPr>
        <w:spacing w:after="0" w:line="240" w:lineRule="auto"/>
      </w:pPr>
      <w:r>
        <w:separator/>
      </w:r>
    </w:p>
  </w:endnote>
  <w:endnote w:type="continuationSeparator" w:id="0">
    <w:p w14:paraId="73F5D7FA" w14:textId="77777777" w:rsidR="00322FF7" w:rsidRDefault="00322FF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21BCD" w14:textId="70CC52AA" w:rsidR="00634E7C" w:rsidRDefault="00634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58645" w14:textId="77777777" w:rsidR="00322FF7" w:rsidRDefault="00322FF7" w:rsidP="000519FA">
      <w:pPr>
        <w:spacing w:after="0" w:line="240" w:lineRule="auto"/>
      </w:pPr>
      <w:r>
        <w:separator/>
      </w:r>
    </w:p>
  </w:footnote>
  <w:footnote w:type="continuationSeparator" w:id="0">
    <w:p w14:paraId="42DAEE30" w14:textId="77777777" w:rsidR="00322FF7" w:rsidRDefault="00322FF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63.5pt;height:32.75pt" o:bullet="t">
        <v:imagedata r:id="rId1" o:title="artABBA"/>
      </v:shape>
    </w:pict>
  </w:numPicBullet>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98615C"/>
    <w:multiLevelType w:val="hybridMultilevel"/>
    <w:tmpl w:val="A74EF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B10CAC"/>
    <w:multiLevelType w:val="hybridMultilevel"/>
    <w:tmpl w:val="C6D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A7F3D97"/>
    <w:multiLevelType w:val="hybridMultilevel"/>
    <w:tmpl w:val="FB90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F049B"/>
    <w:multiLevelType w:val="hybridMultilevel"/>
    <w:tmpl w:val="AEA68D16"/>
    <w:lvl w:ilvl="0" w:tplc="04090001">
      <w:start w:val="1"/>
      <w:numFmt w:val="bullet"/>
      <w:lvlText w:val=""/>
      <w:lvlJc w:val="left"/>
      <w:pPr>
        <w:ind w:left="360" w:hanging="360"/>
      </w:pPr>
      <w:rPr>
        <w:rFonts w:ascii="Symbol" w:hAnsi="Symbol"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1F73317"/>
    <w:multiLevelType w:val="hybridMultilevel"/>
    <w:tmpl w:val="6DB665AE"/>
    <w:lvl w:ilvl="0" w:tplc="3D72B3F2">
      <w:start w:val="1"/>
      <w:numFmt w:val="bullet"/>
      <w:lvlText w:val="-"/>
      <w:lvlJc w:val="left"/>
      <w:pPr>
        <w:tabs>
          <w:tab w:val="num" w:pos="720"/>
        </w:tabs>
        <w:ind w:left="720" w:hanging="360"/>
      </w:pPr>
      <w:rPr>
        <w:rFonts w:ascii="Times New Roman" w:hAnsi="Times New Roman" w:hint="default"/>
      </w:rPr>
    </w:lvl>
    <w:lvl w:ilvl="1" w:tplc="D41CB05C" w:tentative="1">
      <w:start w:val="1"/>
      <w:numFmt w:val="bullet"/>
      <w:lvlText w:val="-"/>
      <w:lvlJc w:val="left"/>
      <w:pPr>
        <w:tabs>
          <w:tab w:val="num" w:pos="1440"/>
        </w:tabs>
        <w:ind w:left="1440" w:hanging="360"/>
      </w:pPr>
      <w:rPr>
        <w:rFonts w:ascii="Times New Roman" w:hAnsi="Times New Roman" w:hint="default"/>
      </w:rPr>
    </w:lvl>
    <w:lvl w:ilvl="2" w:tplc="6420B110" w:tentative="1">
      <w:start w:val="1"/>
      <w:numFmt w:val="bullet"/>
      <w:lvlText w:val="-"/>
      <w:lvlJc w:val="left"/>
      <w:pPr>
        <w:tabs>
          <w:tab w:val="num" w:pos="2160"/>
        </w:tabs>
        <w:ind w:left="2160" w:hanging="360"/>
      </w:pPr>
      <w:rPr>
        <w:rFonts w:ascii="Times New Roman" w:hAnsi="Times New Roman" w:hint="default"/>
      </w:rPr>
    </w:lvl>
    <w:lvl w:ilvl="3" w:tplc="3208AE60" w:tentative="1">
      <w:start w:val="1"/>
      <w:numFmt w:val="bullet"/>
      <w:lvlText w:val="-"/>
      <w:lvlJc w:val="left"/>
      <w:pPr>
        <w:tabs>
          <w:tab w:val="num" w:pos="2880"/>
        </w:tabs>
        <w:ind w:left="2880" w:hanging="360"/>
      </w:pPr>
      <w:rPr>
        <w:rFonts w:ascii="Times New Roman" w:hAnsi="Times New Roman" w:hint="default"/>
      </w:rPr>
    </w:lvl>
    <w:lvl w:ilvl="4" w:tplc="1E26EE24" w:tentative="1">
      <w:start w:val="1"/>
      <w:numFmt w:val="bullet"/>
      <w:lvlText w:val="-"/>
      <w:lvlJc w:val="left"/>
      <w:pPr>
        <w:tabs>
          <w:tab w:val="num" w:pos="3600"/>
        </w:tabs>
        <w:ind w:left="3600" w:hanging="360"/>
      </w:pPr>
      <w:rPr>
        <w:rFonts w:ascii="Times New Roman" w:hAnsi="Times New Roman" w:hint="default"/>
      </w:rPr>
    </w:lvl>
    <w:lvl w:ilvl="5" w:tplc="5FE67492" w:tentative="1">
      <w:start w:val="1"/>
      <w:numFmt w:val="bullet"/>
      <w:lvlText w:val="-"/>
      <w:lvlJc w:val="left"/>
      <w:pPr>
        <w:tabs>
          <w:tab w:val="num" w:pos="4320"/>
        </w:tabs>
        <w:ind w:left="4320" w:hanging="360"/>
      </w:pPr>
      <w:rPr>
        <w:rFonts w:ascii="Times New Roman" w:hAnsi="Times New Roman" w:hint="default"/>
      </w:rPr>
    </w:lvl>
    <w:lvl w:ilvl="6" w:tplc="8E165EA4" w:tentative="1">
      <w:start w:val="1"/>
      <w:numFmt w:val="bullet"/>
      <w:lvlText w:val="-"/>
      <w:lvlJc w:val="left"/>
      <w:pPr>
        <w:tabs>
          <w:tab w:val="num" w:pos="5040"/>
        </w:tabs>
        <w:ind w:left="5040" w:hanging="360"/>
      </w:pPr>
      <w:rPr>
        <w:rFonts w:ascii="Times New Roman" w:hAnsi="Times New Roman" w:hint="default"/>
      </w:rPr>
    </w:lvl>
    <w:lvl w:ilvl="7" w:tplc="3D0C8282" w:tentative="1">
      <w:start w:val="1"/>
      <w:numFmt w:val="bullet"/>
      <w:lvlText w:val="-"/>
      <w:lvlJc w:val="left"/>
      <w:pPr>
        <w:tabs>
          <w:tab w:val="num" w:pos="5760"/>
        </w:tabs>
        <w:ind w:left="5760" w:hanging="360"/>
      </w:pPr>
      <w:rPr>
        <w:rFonts w:ascii="Times New Roman" w:hAnsi="Times New Roman" w:hint="default"/>
      </w:rPr>
    </w:lvl>
    <w:lvl w:ilvl="8" w:tplc="24B6DF6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AA2319E"/>
    <w:multiLevelType w:val="hybridMultilevel"/>
    <w:tmpl w:val="76E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C93314E"/>
    <w:multiLevelType w:val="hybridMultilevel"/>
    <w:tmpl w:val="9A5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B4A"/>
    <w:multiLevelType w:val="hybridMultilevel"/>
    <w:tmpl w:val="8A205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54021"/>
    <w:multiLevelType w:val="hybridMultilevel"/>
    <w:tmpl w:val="F7A0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5A73"/>
    <w:multiLevelType w:val="hybridMultilevel"/>
    <w:tmpl w:val="90047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525AEE"/>
    <w:multiLevelType w:val="hybridMultilevel"/>
    <w:tmpl w:val="2E7CD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D38D5"/>
    <w:multiLevelType w:val="hybridMultilevel"/>
    <w:tmpl w:val="023AB1F6"/>
    <w:lvl w:ilvl="0" w:tplc="DCF2EE14">
      <w:start w:val="1"/>
      <w:numFmt w:val="bullet"/>
      <w:lvlText w:val="-"/>
      <w:lvlJc w:val="left"/>
      <w:pPr>
        <w:tabs>
          <w:tab w:val="num" w:pos="720"/>
        </w:tabs>
        <w:ind w:left="720" w:hanging="360"/>
      </w:pPr>
      <w:rPr>
        <w:rFonts w:ascii="Times New Roman" w:hAnsi="Times New Roman" w:hint="default"/>
      </w:rPr>
    </w:lvl>
    <w:lvl w:ilvl="1" w:tplc="234ED57C" w:tentative="1">
      <w:start w:val="1"/>
      <w:numFmt w:val="bullet"/>
      <w:lvlText w:val="-"/>
      <w:lvlJc w:val="left"/>
      <w:pPr>
        <w:tabs>
          <w:tab w:val="num" w:pos="1440"/>
        </w:tabs>
        <w:ind w:left="1440" w:hanging="360"/>
      </w:pPr>
      <w:rPr>
        <w:rFonts w:ascii="Times New Roman" w:hAnsi="Times New Roman" w:hint="default"/>
      </w:rPr>
    </w:lvl>
    <w:lvl w:ilvl="2" w:tplc="823CC508" w:tentative="1">
      <w:start w:val="1"/>
      <w:numFmt w:val="bullet"/>
      <w:lvlText w:val="-"/>
      <w:lvlJc w:val="left"/>
      <w:pPr>
        <w:tabs>
          <w:tab w:val="num" w:pos="2160"/>
        </w:tabs>
        <w:ind w:left="2160" w:hanging="360"/>
      </w:pPr>
      <w:rPr>
        <w:rFonts w:ascii="Times New Roman" w:hAnsi="Times New Roman" w:hint="default"/>
      </w:rPr>
    </w:lvl>
    <w:lvl w:ilvl="3" w:tplc="5C9C4570" w:tentative="1">
      <w:start w:val="1"/>
      <w:numFmt w:val="bullet"/>
      <w:lvlText w:val="-"/>
      <w:lvlJc w:val="left"/>
      <w:pPr>
        <w:tabs>
          <w:tab w:val="num" w:pos="2880"/>
        </w:tabs>
        <w:ind w:left="2880" w:hanging="360"/>
      </w:pPr>
      <w:rPr>
        <w:rFonts w:ascii="Times New Roman" w:hAnsi="Times New Roman" w:hint="default"/>
      </w:rPr>
    </w:lvl>
    <w:lvl w:ilvl="4" w:tplc="32684F56" w:tentative="1">
      <w:start w:val="1"/>
      <w:numFmt w:val="bullet"/>
      <w:lvlText w:val="-"/>
      <w:lvlJc w:val="left"/>
      <w:pPr>
        <w:tabs>
          <w:tab w:val="num" w:pos="3600"/>
        </w:tabs>
        <w:ind w:left="3600" w:hanging="360"/>
      </w:pPr>
      <w:rPr>
        <w:rFonts w:ascii="Times New Roman" w:hAnsi="Times New Roman" w:hint="default"/>
      </w:rPr>
    </w:lvl>
    <w:lvl w:ilvl="5" w:tplc="F99EEDEE" w:tentative="1">
      <w:start w:val="1"/>
      <w:numFmt w:val="bullet"/>
      <w:lvlText w:val="-"/>
      <w:lvlJc w:val="left"/>
      <w:pPr>
        <w:tabs>
          <w:tab w:val="num" w:pos="4320"/>
        </w:tabs>
        <w:ind w:left="4320" w:hanging="360"/>
      </w:pPr>
      <w:rPr>
        <w:rFonts w:ascii="Times New Roman" w:hAnsi="Times New Roman" w:hint="default"/>
      </w:rPr>
    </w:lvl>
    <w:lvl w:ilvl="6" w:tplc="7E8A0AD8" w:tentative="1">
      <w:start w:val="1"/>
      <w:numFmt w:val="bullet"/>
      <w:lvlText w:val="-"/>
      <w:lvlJc w:val="left"/>
      <w:pPr>
        <w:tabs>
          <w:tab w:val="num" w:pos="5040"/>
        </w:tabs>
        <w:ind w:left="5040" w:hanging="360"/>
      </w:pPr>
      <w:rPr>
        <w:rFonts w:ascii="Times New Roman" w:hAnsi="Times New Roman" w:hint="default"/>
      </w:rPr>
    </w:lvl>
    <w:lvl w:ilvl="7" w:tplc="5EBCC5DC" w:tentative="1">
      <w:start w:val="1"/>
      <w:numFmt w:val="bullet"/>
      <w:lvlText w:val="-"/>
      <w:lvlJc w:val="left"/>
      <w:pPr>
        <w:tabs>
          <w:tab w:val="num" w:pos="5760"/>
        </w:tabs>
        <w:ind w:left="5760" w:hanging="360"/>
      </w:pPr>
      <w:rPr>
        <w:rFonts w:ascii="Times New Roman" w:hAnsi="Times New Roman" w:hint="default"/>
      </w:rPr>
    </w:lvl>
    <w:lvl w:ilvl="8" w:tplc="1FF098C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D681C"/>
    <w:multiLevelType w:val="hybridMultilevel"/>
    <w:tmpl w:val="81A6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10A32"/>
    <w:multiLevelType w:val="hybridMultilevel"/>
    <w:tmpl w:val="B06E0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F13313"/>
    <w:multiLevelType w:val="hybridMultilevel"/>
    <w:tmpl w:val="586C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6309A"/>
    <w:multiLevelType w:val="hybridMultilevel"/>
    <w:tmpl w:val="7248B092"/>
    <w:lvl w:ilvl="0" w:tplc="7F8A3CAC">
      <w:start w:val="1"/>
      <w:numFmt w:val="bullet"/>
      <w:lvlText w:val=""/>
      <w:lvlJc w:val="left"/>
      <w:pPr>
        <w:tabs>
          <w:tab w:val="num" w:pos="720"/>
        </w:tabs>
        <w:ind w:left="720" w:hanging="360"/>
      </w:pPr>
      <w:rPr>
        <w:rFonts w:ascii="Symbol" w:hAnsi="Symbol" w:hint="default"/>
      </w:rPr>
    </w:lvl>
    <w:lvl w:ilvl="1" w:tplc="ECC85D1C" w:tentative="1">
      <w:start w:val="1"/>
      <w:numFmt w:val="bullet"/>
      <w:lvlText w:val=""/>
      <w:lvlJc w:val="left"/>
      <w:pPr>
        <w:tabs>
          <w:tab w:val="num" w:pos="1440"/>
        </w:tabs>
        <w:ind w:left="1440" w:hanging="360"/>
      </w:pPr>
      <w:rPr>
        <w:rFonts w:ascii="Symbol" w:hAnsi="Symbol" w:hint="default"/>
      </w:rPr>
    </w:lvl>
    <w:lvl w:ilvl="2" w:tplc="618A3EB0" w:tentative="1">
      <w:start w:val="1"/>
      <w:numFmt w:val="bullet"/>
      <w:lvlText w:val=""/>
      <w:lvlJc w:val="left"/>
      <w:pPr>
        <w:tabs>
          <w:tab w:val="num" w:pos="2160"/>
        </w:tabs>
        <w:ind w:left="2160" w:hanging="360"/>
      </w:pPr>
      <w:rPr>
        <w:rFonts w:ascii="Symbol" w:hAnsi="Symbol" w:hint="default"/>
      </w:rPr>
    </w:lvl>
    <w:lvl w:ilvl="3" w:tplc="427C1B1E" w:tentative="1">
      <w:start w:val="1"/>
      <w:numFmt w:val="bullet"/>
      <w:lvlText w:val=""/>
      <w:lvlJc w:val="left"/>
      <w:pPr>
        <w:tabs>
          <w:tab w:val="num" w:pos="2880"/>
        </w:tabs>
        <w:ind w:left="2880" w:hanging="360"/>
      </w:pPr>
      <w:rPr>
        <w:rFonts w:ascii="Symbol" w:hAnsi="Symbol" w:hint="default"/>
      </w:rPr>
    </w:lvl>
    <w:lvl w:ilvl="4" w:tplc="AEA69370" w:tentative="1">
      <w:start w:val="1"/>
      <w:numFmt w:val="bullet"/>
      <w:lvlText w:val=""/>
      <w:lvlJc w:val="left"/>
      <w:pPr>
        <w:tabs>
          <w:tab w:val="num" w:pos="3600"/>
        </w:tabs>
        <w:ind w:left="3600" w:hanging="360"/>
      </w:pPr>
      <w:rPr>
        <w:rFonts w:ascii="Symbol" w:hAnsi="Symbol" w:hint="default"/>
      </w:rPr>
    </w:lvl>
    <w:lvl w:ilvl="5" w:tplc="B6D6AC0C" w:tentative="1">
      <w:start w:val="1"/>
      <w:numFmt w:val="bullet"/>
      <w:lvlText w:val=""/>
      <w:lvlJc w:val="left"/>
      <w:pPr>
        <w:tabs>
          <w:tab w:val="num" w:pos="4320"/>
        </w:tabs>
        <w:ind w:left="4320" w:hanging="360"/>
      </w:pPr>
      <w:rPr>
        <w:rFonts w:ascii="Symbol" w:hAnsi="Symbol" w:hint="default"/>
      </w:rPr>
    </w:lvl>
    <w:lvl w:ilvl="6" w:tplc="F5FC814A" w:tentative="1">
      <w:start w:val="1"/>
      <w:numFmt w:val="bullet"/>
      <w:lvlText w:val=""/>
      <w:lvlJc w:val="left"/>
      <w:pPr>
        <w:tabs>
          <w:tab w:val="num" w:pos="5040"/>
        </w:tabs>
        <w:ind w:left="5040" w:hanging="360"/>
      </w:pPr>
      <w:rPr>
        <w:rFonts w:ascii="Symbol" w:hAnsi="Symbol" w:hint="default"/>
      </w:rPr>
    </w:lvl>
    <w:lvl w:ilvl="7" w:tplc="90242F30" w:tentative="1">
      <w:start w:val="1"/>
      <w:numFmt w:val="bullet"/>
      <w:lvlText w:val=""/>
      <w:lvlJc w:val="left"/>
      <w:pPr>
        <w:tabs>
          <w:tab w:val="num" w:pos="5760"/>
        </w:tabs>
        <w:ind w:left="5760" w:hanging="360"/>
      </w:pPr>
      <w:rPr>
        <w:rFonts w:ascii="Symbol" w:hAnsi="Symbol" w:hint="default"/>
      </w:rPr>
    </w:lvl>
    <w:lvl w:ilvl="8" w:tplc="9E7455C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2D4866"/>
    <w:multiLevelType w:val="hybridMultilevel"/>
    <w:tmpl w:val="658C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9C725B"/>
    <w:multiLevelType w:val="hybridMultilevel"/>
    <w:tmpl w:val="01E6456A"/>
    <w:lvl w:ilvl="0" w:tplc="89C27708">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F3235E"/>
    <w:multiLevelType w:val="hybridMultilevel"/>
    <w:tmpl w:val="208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B178DA"/>
    <w:multiLevelType w:val="hybridMultilevel"/>
    <w:tmpl w:val="4B6E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D76CC7"/>
    <w:multiLevelType w:val="hybridMultilevel"/>
    <w:tmpl w:val="95B83342"/>
    <w:lvl w:ilvl="0" w:tplc="B8004FDA">
      <w:start w:val="1"/>
      <w:numFmt w:val="bullet"/>
      <w:lvlText w:val="-"/>
      <w:lvlJc w:val="left"/>
      <w:pPr>
        <w:tabs>
          <w:tab w:val="num" w:pos="720"/>
        </w:tabs>
        <w:ind w:left="720" w:hanging="360"/>
      </w:pPr>
      <w:rPr>
        <w:rFonts w:ascii="Times New Roman" w:hAnsi="Times New Roman" w:hint="default"/>
      </w:rPr>
    </w:lvl>
    <w:lvl w:ilvl="1" w:tplc="EF7644C6" w:tentative="1">
      <w:start w:val="1"/>
      <w:numFmt w:val="bullet"/>
      <w:lvlText w:val="-"/>
      <w:lvlJc w:val="left"/>
      <w:pPr>
        <w:tabs>
          <w:tab w:val="num" w:pos="1440"/>
        </w:tabs>
        <w:ind w:left="1440" w:hanging="360"/>
      </w:pPr>
      <w:rPr>
        <w:rFonts w:ascii="Times New Roman" w:hAnsi="Times New Roman" w:hint="default"/>
      </w:rPr>
    </w:lvl>
    <w:lvl w:ilvl="2" w:tplc="CA4654C4" w:tentative="1">
      <w:start w:val="1"/>
      <w:numFmt w:val="bullet"/>
      <w:lvlText w:val="-"/>
      <w:lvlJc w:val="left"/>
      <w:pPr>
        <w:tabs>
          <w:tab w:val="num" w:pos="2160"/>
        </w:tabs>
        <w:ind w:left="2160" w:hanging="360"/>
      </w:pPr>
      <w:rPr>
        <w:rFonts w:ascii="Times New Roman" w:hAnsi="Times New Roman" w:hint="default"/>
      </w:rPr>
    </w:lvl>
    <w:lvl w:ilvl="3" w:tplc="62EC7102" w:tentative="1">
      <w:start w:val="1"/>
      <w:numFmt w:val="bullet"/>
      <w:lvlText w:val="-"/>
      <w:lvlJc w:val="left"/>
      <w:pPr>
        <w:tabs>
          <w:tab w:val="num" w:pos="2880"/>
        </w:tabs>
        <w:ind w:left="2880" w:hanging="360"/>
      </w:pPr>
      <w:rPr>
        <w:rFonts w:ascii="Times New Roman" w:hAnsi="Times New Roman" w:hint="default"/>
      </w:rPr>
    </w:lvl>
    <w:lvl w:ilvl="4" w:tplc="F364D0E8" w:tentative="1">
      <w:start w:val="1"/>
      <w:numFmt w:val="bullet"/>
      <w:lvlText w:val="-"/>
      <w:lvlJc w:val="left"/>
      <w:pPr>
        <w:tabs>
          <w:tab w:val="num" w:pos="3600"/>
        </w:tabs>
        <w:ind w:left="3600" w:hanging="360"/>
      </w:pPr>
      <w:rPr>
        <w:rFonts w:ascii="Times New Roman" w:hAnsi="Times New Roman" w:hint="default"/>
      </w:rPr>
    </w:lvl>
    <w:lvl w:ilvl="5" w:tplc="021C4E62" w:tentative="1">
      <w:start w:val="1"/>
      <w:numFmt w:val="bullet"/>
      <w:lvlText w:val="-"/>
      <w:lvlJc w:val="left"/>
      <w:pPr>
        <w:tabs>
          <w:tab w:val="num" w:pos="4320"/>
        </w:tabs>
        <w:ind w:left="4320" w:hanging="360"/>
      </w:pPr>
      <w:rPr>
        <w:rFonts w:ascii="Times New Roman" w:hAnsi="Times New Roman" w:hint="default"/>
      </w:rPr>
    </w:lvl>
    <w:lvl w:ilvl="6" w:tplc="6178C858" w:tentative="1">
      <w:start w:val="1"/>
      <w:numFmt w:val="bullet"/>
      <w:lvlText w:val="-"/>
      <w:lvlJc w:val="left"/>
      <w:pPr>
        <w:tabs>
          <w:tab w:val="num" w:pos="5040"/>
        </w:tabs>
        <w:ind w:left="5040" w:hanging="360"/>
      </w:pPr>
      <w:rPr>
        <w:rFonts w:ascii="Times New Roman" w:hAnsi="Times New Roman" w:hint="default"/>
      </w:rPr>
    </w:lvl>
    <w:lvl w:ilvl="7" w:tplc="8EEC91D2" w:tentative="1">
      <w:start w:val="1"/>
      <w:numFmt w:val="bullet"/>
      <w:lvlText w:val="-"/>
      <w:lvlJc w:val="left"/>
      <w:pPr>
        <w:tabs>
          <w:tab w:val="num" w:pos="5760"/>
        </w:tabs>
        <w:ind w:left="5760" w:hanging="360"/>
      </w:pPr>
      <w:rPr>
        <w:rFonts w:ascii="Times New Roman" w:hAnsi="Times New Roman" w:hint="default"/>
      </w:rPr>
    </w:lvl>
    <w:lvl w:ilvl="8" w:tplc="94949762"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B1343C"/>
    <w:multiLevelType w:val="hybridMultilevel"/>
    <w:tmpl w:val="54548CFA"/>
    <w:lvl w:ilvl="0" w:tplc="C12C6C2A">
      <w:start w:val="1"/>
      <w:numFmt w:val="bullet"/>
      <w:lvlText w:val="-"/>
      <w:lvlJc w:val="left"/>
      <w:pPr>
        <w:tabs>
          <w:tab w:val="num" w:pos="720"/>
        </w:tabs>
        <w:ind w:left="720" w:hanging="360"/>
      </w:pPr>
      <w:rPr>
        <w:rFonts w:ascii="Times New Roman" w:hAnsi="Times New Roman" w:hint="default"/>
      </w:rPr>
    </w:lvl>
    <w:lvl w:ilvl="1" w:tplc="0D5C0894" w:tentative="1">
      <w:start w:val="1"/>
      <w:numFmt w:val="bullet"/>
      <w:lvlText w:val="-"/>
      <w:lvlJc w:val="left"/>
      <w:pPr>
        <w:tabs>
          <w:tab w:val="num" w:pos="1440"/>
        </w:tabs>
        <w:ind w:left="1440" w:hanging="360"/>
      </w:pPr>
      <w:rPr>
        <w:rFonts w:ascii="Times New Roman" w:hAnsi="Times New Roman" w:hint="default"/>
      </w:rPr>
    </w:lvl>
    <w:lvl w:ilvl="2" w:tplc="8E9A16B6" w:tentative="1">
      <w:start w:val="1"/>
      <w:numFmt w:val="bullet"/>
      <w:lvlText w:val="-"/>
      <w:lvlJc w:val="left"/>
      <w:pPr>
        <w:tabs>
          <w:tab w:val="num" w:pos="2160"/>
        </w:tabs>
        <w:ind w:left="2160" w:hanging="360"/>
      </w:pPr>
      <w:rPr>
        <w:rFonts w:ascii="Times New Roman" w:hAnsi="Times New Roman" w:hint="default"/>
      </w:rPr>
    </w:lvl>
    <w:lvl w:ilvl="3" w:tplc="C1A673FA" w:tentative="1">
      <w:start w:val="1"/>
      <w:numFmt w:val="bullet"/>
      <w:lvlText w:val="-"/>
      <w:lvlJc w:val="left"/>
      <w:pPr>
        <w:tabs>
          <w:tab w:val="num" w:pos="2880"/>
        </w:tabs>
        <w:ind w:left="2880" w:hanging="360"/>
      </w:pPr>
      <w:rPr>
        <w:rFonts w:ascii="Times New Roman" w:hAnsi="Times New Roman" w:hint="default"/>
      </w:rPr>
    </w:lvl>
    <w:lvl w:ilvl="4" w:tplc="CAFE2916" w:tentative="1">
      <w:start w:val="1"/>
      <w:numFmt w:val="bullet"/>
      <w:lvlText w:val="-"/>
      <w:lvlJc w:val="left"/>
      <w:pPr>
        <w:tabs>
          <w:tab w:val="num" w:pos="3600"/>
        </w:tabs>
        <w:ind w:left="3600" w:hanging="360"/>
      </w:pPr>
      <w:rPr>
        <w:rFonts w:ascii="Times New Roman" w:hAnsi="Times New Roman" w:hint="default"/>
      </w:rPr>
    </w:lvl>
    <w:lvl w:ilvl="5" w:tplc="B3C64828" w:tentative="1">
      <w:start w:val="1"/>
      <w:numFmt w:val="bullet"/>
      <w:lvlText w:val="-"/>
      <w:lvlJc w:val="left"/>
      <w:pPr>
        <w:tabs>
          <w:tab w:val="num" w:pos="4320"/>
        </w:tabs>
        <w:ind w:left="4320" w:hanging="360"/>
      </w:pPr>
      <w:rPr>
        <w:rFonts w:ascii="Times New Roman" w:hAnsi="Times New Roman" w:hint="default"/>
      </w:rPr>
    </w:lvl>
    <w:lvl w:ilvl="6" w:tplc="AF6657BC" w:tentative="1">
      <w:start w:val="1"/>
      <w:numFmt w:val="bullet"/>
      <w:lvlText w:val="-"/>
      <w:lvlJc w:val="left"/>
      <w:pPr>
        <w:tabs>
          <w:tab w:val="num" w:pos="5040"/>
        </w:tabs>
        <w:ind w:left="5040" w:hanging="360"/>
      </w:pPr>
      <w:rPr>
        <w:rFonts w:ascii="Times New Roman" w:hAnsi="Times New Roman" w:hint="default"/>
      </w:rPr>
    </w:lvl>
    <w:lvl w:ilvl="7" w:tplc="3EDAB7EE" w:tentative="1">
      <w:start w:val="1"/>
      <w:numFmt w:val="bullet"/>
      <w:lvlText w:val="-"/>
      <w:lvlJc w:val="left"/>
      <w:pPr>
        <w:tabs>
          <w:tab w:val="num" w:pos="5760"/>
        </w:tabs>
        <w:ind w:left="5760" w:hanging="360"/>
      </w:pPr>
      <w:rPr>
        <w:rFonts w:ascii="Times New Roman" w:hAnsi="Times New Roman" w:hint="default"/>
      </w:rPr>
    </w:lvl>
    <w:lvl w:ilvl="8" w:tplc="B4907A3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68721A9F"/>
    <w:multiLevelType w:val="hybridMultilevel"/>
    <w:tmpl w:val="EFBE0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6F450199"/>
    <w:multiLevelType w:val="hybridMultilevel"/>
    <w:tmpl w:val="F754E0B0"/>
    <w:lvl w:ilvl="0" w:tplc="5596F628">
      <w:start w:val="1"/>
      <w:numFmt w:val="bullet"/>
      <w:lvlText w:val="-"/>
      <w:lvlJc w:val="left"/>
      <w:pPr>
        <w:tabs>
          <w:tab w:val="num" w:pos="720"/>
        </w:tabs>
        <w:ind w:left="720" w:hanging="360"/>
      </w:pPr>
      <w:rPr>
        <w:rFonts w:ascii="Times New Roman" w:hAnsi="Times New Roman" w:hint="default"/>
      </w:rPr>
    </w:lvl>
    <w:lvl w:ilvl="1" w:tplc="ED02274C" w:tentative="1">
      <w:start w:val="1"/>
      <w:numFmt w:val="bullet"/>
      <w:lvlText w:val="-"/>
      <w:lvlJc w:val="left"/>
      <w:pPr>
        <w:tabs>
          <w:tab w:val="num" w:pos="1440"/>
        </w:tabs>
        <w:ind w:left="1440" w:hanging="360"/>
      </w:pPr>
      <w:rPr>
        <w:rFonts w:ascii="Times New Roman" w:hAnsi="Times New Roman" w:hint="default"/>
      </w:rPr>
    </w:lvl>
    <w:lvl w:ilvl="2" w:tplc="143C9332" w:tentative="1">
      <w:start w:val="1"/>
      <w:numFmt w:val="bullet"/>
      <w:lvlText w:val="-"/>
      <w:lvlJc w:val="left"/>
      <w:pPr>
        <w:tabs>
          <w:tab w:val="num" w:pos="2160"/>
        </w:tabs>
        <w:ind w:left="2160" w:hanging="360"/>
      </w:pPr>
      <w:rPr>
        <w:rFonts w:ascii="Times New Roman" w:hAnsi="Times New Roman" w:hint="default"/>
      </w:rPr>
    </w:lvl>
    <w:lvl w:ilvl="3" w:tplc="48B6F7AA" w:tentative="1">
      <w:start w:val="1"/>
      <w:numFmt w:val="bullet"/>
      <w:lvlText w:val="-"/>
      <w:lvlJc w:val="left"/>
      <w:pPr>
        <w:tabs>
          <w:tab w:val="num" w:pos="2880"/>
        </w:tabs>
        <w:ind w:left="2880" w:hanging="360"/>
      </w:pPr>
      <w:rPr>
        <w:rFonts w:ascii="Times New Roman" w:hAnsi="Times New Roman" w:hint="default"/>
      </w:rPr>
    </w:lvl>
    <w:lvl w:ilvl="4" w:tplc="FA60FCFC" w:tentative="1">
      <w:start w:val="1"/>
      <w:numFmt w:val="bullet"/>
      <w:lvlText w:val="-"/>
      <w:lvlJc w:val="left"/>
      <w:pPr>
        <w:tabs>
          <w:tab w:val="num" w:pos="3600"/>
        </w:tabs>
        <w:ind w:left="3600" w:hanging="360"/>
      </w:pPr>
      <w:rPr>
        <w:rFonts w:ascii="Times New Roman" w:hAnsi="Times New Roman" w:hint="default"/>
      </w:rPr>
    </w:lvl>
    <w:lvl w:ilvl="5" w:tplc="0F523724" w:tentative="1">
      <w:start w:val="1"/>
      <w:numFmt w:val="bullet"/>
      <w:lvlText w:val="-"/>
      <w:lvlJc w:val="left"/>
      <w:pPr>
        <w:tabs>
          <w:tab w:val="num" w:pos="4320"/>
        </w:tabs>
        <w:ind w:left="4320" w:hanging="360"/>
      </w:pPr>
      <w:rPr>
        <w:rFonts w:ascii="Times New Roman" w:hAnsi="Times New Roman" w:hint="default"/>
      </w:rPr>
    </w:lvl>
    <w:lvl w:ilvl="6" w:tplc="C35047B8" w:tentative="1">
      <w:start w:val="1"/>
      <w:numFmt w:val="bullet"/>
      <w:lvlText w:val="-"/>
      <w:lvlJc w:val="left"/>
      <w:pPr>
        <w:tabs>
          <w:tab w:val="num" w:pos="5040"/>
        </w:tabs>
        <w:ind w:left="5040" w:hanging="360"/>
      </w:pPr>
      <w:rPr>
        <w:rFonts w:ascii="Times New Roman" w:hAnsi="Times New Roman" w:hint="default"/>
      </w:rPr>
    </w:lvl>
    <w:lvl w:ilvl="7" w:tplc="F5FEBD84" w:tentative="1">
      <w:start w:val="1"/>
      <w:numFmt w:val="bullet"/>
      <w:lvlText w:val="-"/>
      <w:lvlJc w:val="left"/>
      <w:pPr>
        <w:tabs>
          <w:tab w:val="num" w:pos="5760"/>
        </w:tabs>
        <w:ind w:left="5760" w:hanging="360"/>
      </w:pPr>
      <w:rPr>
        <w:rFonts w:ascii="Times New Roman" w:hAnsi="Times New Roman" w:hint="default"/>
      </w:rPr>
    </w:lvl>
    <w:lvl w:ilvl="8" w:tplc="20F4831C"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76AD180F"/>
    <w:multiLevelType w:val="hybridMultilevel"/>
    <w:tmpl w:val="42B21B36"/>
    <w:lvl w:ilvl="0" w:tplc="2C0E727C">
      <w:start w:val="1"/>
      <w:numFmt w:val="bullet"/>
      <w:lvlText w:val="-"/>
      <w:lvlJc w:val="left"/>
      <w:pPr>
        <w:tabs>
          <w:tab w:val="num" w:pos="720"/>
        </w:tabs>
        <w:ind w:left="720" w:hanging="360"/>
      </w:pPr>
      <w:rPr>
        <w:rFonts w:ascii="Times New Roman" w:hAnsi="Times New Roman" w:hint="default"/>
      </w:rPr>
    </w:lvl>
    <w:lvl w:ilvl="1" w:tplc="765AF1CE" w:tentative="1">
      <w:start w:val="1"/>
      <w:numFmt w:val="bullet"/>
      <w:lvlText w:val="-"/>
      <w:lvlJc w:val="left"/>
      <w:pPr>
        <w:tabs>
          <w:tab w:val="num" w:pos="1440"/>
        </w:tabs>
        <w:ind w:left="1440" w:hanging="360"/>
      </w:pPr>
      <w:rPr>
        <w:rFonts w:ascii="Times New Roman" w:hAnsi="Times New Roman" w:hint="default"/>
      </w:rPr>
    </w:lvl>
    <w:lvl w:ilvl="2" w:tplc="03A648B6" w:tentative="1">
      <w:start w:val="1"/>
      <w:numFmt w:val="bullet"/>
      <w:lvlText w:val="-"/>
      <w:lvlJc w:val="left"/>
      <w:pPr>
        <w:tabs>
          <w:tab w:val="num" w:pos="2160"/>
        </w:tabs>
        <w:ind w:left="2160" w:hanging="360"/>
      </w:pPr>
      <w:rPr>
        <w:rFonts w:ascii="Times New Roman" w:hAnsi="Times New Roman" w:hint="default"/>
      </w:rPr>
    </w:lvl>
    <w:lvl w:ilvl="3" w:tplc="DBDE6A34" w:tentative="1">
      <w:start w:val="1"/>
      <w:numFmt w:val="bullet"/>
      <w:lvlText w:val="-"/>
      <w:lvlJc w:val="left"/>
      <w:pPr>
        <w:tabs>
          <w:tab w:val="num" w:pos="2880"/>
        </w:tabs>
        <w:ind w:left="2880" w:hanging="360"/>
      </w:pPr>
      <w:rPr>
        <w:rFonts w:ascii="Times New Roman" w:hAnsi="Times New Roman" w:hint="default"/>
      </w:rPr>
    </w:lvl>
    <w:lvl w:ilvl="4" w:tplc="DAB26B32" w:tentative="1">
      <w:start w:val="1"/>
      <w:numFmt w:val="bullet"/>
      <w:lvlText w:val="-"/>
      <w:lvlJc w:val="left"/>
      <w:pPr>
        <w:tabs>
          <w:tab w:val="num" w:pos="3600"/>
        </w:tabs>
        <w:ind w:left="3600" w:hanging="360"/>
      </w:pPr>
      <w:rPr>
        <w:rFonts w:ascii="Times New Roman" w:hAnsi="Times New Roman" w:hint="default"/>
      </w:rPr>
    </w:lvl>
    <w:lvl w:ilvl="5" w:tplc="FE48D792" w:tentative="1">
      <w:start w:val="1"/>
      <w:numFmt w:val="bullet"/>
      <w:lvlText w:val="-"/>
      <w:lvlJc w:val="left"/>
      <w:pPr>
        <w:tabs>
          <w:tab w:val="num" w:pos="4320"/>
        </w:tabs>
        <w:ind w:left="4320" w:hanging="360"/>
      </w:pPr>
      <w:rPr>
        <w:rFonts w:ascii="Times New Roman" w:hAnsi="Times New Roman" w:hint="default"/>
      </w:rPr>
    </w:lvl>
    <w:lvl w:ilvl="6" w:tplc="8B222B46" w:tentative="1">
      <w:start w:val="1"/>
      <w:numFmt w:val="bullet"/>
      <w:lvlText w:val="-"/>
      <w:lvlJc w:val="left"/>
      <w:pPr>
        <w:tabs>
          <w:tab w:val="num" w:pos="5040"/>
        </w:tabs>
        <w:ind w:left="5040" w:hanging="360"/>
      </w:pPr>
      <w:rPr>
        <w:rFonts w:ascii="Times New Roman" w:hAnsi="Times New Roman" w:hint="default"/>
      </w:rPr>
    </w:lvl>
    <w:lvl w:ilvl="7" w:tplc="9AA2CFD8" w:tentative="1">
      <w:start w:val="1"/>
      <w:numFmt w:val="bullet"/>
      <w:lvlText w:val="-"/>
      <w:lvlJc w:val="left"/>
      <w:pPr>
        <w:tabs>
          <w:tab w:val="num" w:pos="5760"/>
        </w:tabs>
        <w:ind w:left="5760" w:hanging="360"/>
      </w:pPr>
      <w:rPr>
        <w:rFonts w:ascii="Times New Roman" w:hAnsi="Times New Roman" w:hint="default"/>
      </w:rPr>
    </w:lvl>
    <w:lvl w:ilvl="8" w:tplc="421EDA1E"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7B6224D2"/>
    <w:multiLevelType w:val="hybridMultilevel"/>
    <w:tmpl w:val="79424354"/>
    <w:lvl w:ilvl="0" w:tplc="37CAB5F4">
      <w:start w:val="1"/>
      <w:numFmt w:val="bullet"/>
      <w:lvlText w:val="•"/>
      <w:lvlJc w:val="left"/>
      <w:pPr>
        <w:tabs>
          <w:tab w:val="num" w:pos="360"/>
        </w:tabs>
        <w:ind w:left="360" w:hanging="360"/>
      </w:pPr>
      <w:rPr>
        <w:rFonts w:ascii="Arial" w:hAnsi="Arial" w:hint="default"/>
      </w:rPr>
    </w:lvl>
    <w:lvl w:ilvl="1" w:tplc="CDF239CC">
      <w:start w:val="1"/>
      <w:numFmt w:val="decimal"/>
      <w:lvlText w:val="%2."/>
      <w:lvlJc w:val="left"/>
      <w:pPr>
        <w:tabs>
          <w:tab w:val="num" w:pos="1080"/>
        </w:tabs>
        <w:ind w:left="1080" w:hanging="360"/>
      </w:pPr>
    </w:lvl>
    <w:lvl w:ilvl="2" w:tplc="8E98F948" w:tentative="1">
      <w:start w:val="1"/>
      <w:numFmt w:val="bullet"/>
      <w:lvlText w:val="•"/>
      <w:lvlJc w:val="left"/>
      <w:pPr>
        <w:tabs>
          <w:tab w:val="num" w:pos="1800"/>
        </w:tabs>
        <w:ind w:left="1800" w:hanging="360"/>
      </w:pPr>
      <w:rPr>
        <w:rFonts w:ascii="Arial" w:hAnsi="Arial" w:hint="default"/>
      </w:rPr>
    </w:lvl>
    <w:lvl w:ilvl="3" w:tplc="F9F0F1EE" w:tentative="1">
      <w:start w:val="1"/>
      <w:numFmt w:val="bullet"/>
      <w:lvlText w:val="•"/>
      <w:lvlJc w:val="left"/>
      <w:pPr>
        <w:tabs>
          <w:tab w:val="num" w:pos="2520"/>
        </w:tabs>
        <w:ind w:left="2520" w:hanging="360"/>
      </w:pPr>
      <w:rPr>
        <w:rFonts w:ascii="Arial" w:hAnsi="Arial" w:hint="default"/>
      </w:rPr>
    </w:lvl>
    <w:lvl w:ilvl="4" w:tplc="F346854E" w:tentative="1">
      <w:start w:val="1"/>
      <w:numFmt w:val="bullet"/>
      <w:lvlText w:val="•"/>
      <w:lvlJc w:val="left"/>
      <w:pPr>
        <w:tabs>
          <w:tab w:val="num" w:pos="3240"/>
        </w:tabs>
        <w:ind w:left="3240" w:hanging="360"/>
      </w:pPr>
      <w:rPr>
        <w:rFonts w:ascii="Arial" w:hAnsi="Arial" w:hint="default"/>
      </w:rPr>
    </w:lvl>
    <w:lvl w:ilvl="5" w:tplc="640C905C" w:tentative="1">
      <w:start w:val="1"/>
      <w:numFmt w:val="bullet"/>
      <w:lvlText w:val="•"/>
      <w:lvlJc w:val="left"/>
      <w:pPr>
        <w:tabs>
          <w:tab w:val="num" w:pos="3960"/>
        </w:tabs>
        <w:ind w:left="3960" w:hanging="360"/>
      </w:pPr>
      <w:rPr>
        <w:rFonts w:ascii="Arial" w:hAnsi="Arial" w:hint="default"/>
      </w:rPr>
    </w:lvl>
    <w:lvl w:ilvl="6" w:tplc="B92A03DA" w:tentative="1">
      <w:start w:val="1"/>
      <w:numFmt w:val="bullet"/>
      <w:lvlText w:val="•"/>
      <w:lvlJc w:val="left"/>
      <w:pPr>
        <w:tabs>
          <w:tab w:val="num" w:pos="4680"/>
        </w:tabs>
        <w:ind w:left="4680" w:hanging="360"/>
      </w:pPr>
      <w:rPr>
        <w:rFonts w:ascii="Arial" w:hAnsi="Arial" w:hint="default"/>
      </w:rPr>
    </w:lvl>
    <w:lvl w:ilvl="7" w:tplc="087AB150" w:tentative="1">
      <w:start w:val="1"/>
      <w:numFmt w:val="bullet"/>
      <w:lvlText w:val="•"/>
      <w:lvlJc w:val="left"/>
      <w:pPr>
        <w:tabs>
          <w:tab w:val="num" w:pos="5400"/>
        </w:tabs>
        <w:ind w:left="5400" w:hanging="360"/>
      </w:pPr>
      <w:rPr>
        <w:rFonts w:ascii="Arial" w:hAnsi="Arial" w:hint="default"/>
      </w:rPr>
    </w:lvl>
    <w:lvl w:ilvl="8" w:tplc="EAEE584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BD8580A"/>
    <w:multiLevelType w:val="hybridMultilevel"/>
    <w:tmpl w:val="64E65DC8"/>
    <w:lvl w:ilvl="0" w:tplc="4434F4C4">
      <w:start w:val="1"/>
      <w:numFmt w:val="bullet"/>
      <w:lvlText w:val="-"/>
      <w:lvlJc w:val="left"/>
      <w:pPr>
        <w:tabs>
          <w:tab w:val="num" w:pos="720"/>
        </w:tabs>
        <w:ind w:left="720" w:hanging="360"/>
      </w:pPr>
      <w:rPr>
        <w:rFonts w:ascii="Times New Roman" w:hAnsi="Times New Roman" w:hint="default"/>
      </w:rPr>
    </w:lvl>
    <w:lvl w:ilvl="1" w:tplc="9E1C01B4" w:tentative="1">
      <w:start w:val="1"/>
      <w:numFmt w:val="bullet"/>
      <w:lvlText w:val="-"/>
      <w:lvlJc w:val="left"/>
      <w:pPr>
        <w:tabs>
          <w:tab w:val="num" w:pos="1440"/>
        </w:tabs>
        <w:ind w:left="1440" w:hanging="360"/>
      </w:pPr>
      <w:rPr>
        <w:rFonts w:ascii="Times New Roman" w:hAnsi="Times New Roman" w:hint="default"/>
      </w:rPr>
    </w:lvl>
    <w:lvl w:ilvl="2" w:tplc="C150BF32" w:tentative="1">
      <w:start w:val="1"/>
      <w:numFmt w:val="bullet"/>
      <w:lvlText w:val="-"/>
      <w:lvlJc w:val="left"/>
      <w:pPr>
        <w:tabs>
          <w:tab w:val="num" w:pos="2160"/>
        </w:tabs>
        <w:ind w:left="2160" w:hanging="360"/>
      </w:pPr>
      <w:rPr>
        <w:rFonts w:ascii="Times New Roman" w:hAnsi="Times New Roman" w:hint="default"/>
      </w:rPr>
    </w:lvl>
    <w:lvl w:ilvl="3" w:tplc="8D14C780" w:tentative="1">
      <w:start w:val="1"/>
      <w:numFmt w:val="bullet"/>
      <w:lvlText w:val="-"/>
      <w:lvlJc w:val="left"/>
      <w:pPr>
        <w:tabs>
          <w:tab w:val="num" w:pos="2880"/>
        </w:tabs>
        <w:ind w:left="2880" w:hanging="360"/>
      </w:pPr>
      <w:rPr>
        <w:rFonts w:ascii="Times New Roman" w:hAnsi="Times New Roman" w:hint="default"/>
      </w:rPr>
    </w:lvl>
    <w:lvl w:ilvl="4" w:tplc="03DC8ECE" w:tentative="1">
      <w:start w:val="1"/>
      <w:numFmt w:val="bullet"/>
      <w:lvlText w:val="-"/>
      <w:lvlJc w:val="left"/>
      <w:pPr>
        <w:tabs>
          <w:tab w:val="num" w:pos="3600"/>
        </w:tabs>
        <w:ind w:left="3600" w:hanging="360"/>
      </w:pPr>
      <w:rPr>
        <w:rFonts w:ascii="Times New Roman" w:hAnsi="Times New Roman" w:hint="default"/>
      </w:rPr>
    </w:lvl>
    <w:lvl w:ilvl="5" w:tplc="12024F86" w:tentative="1">
      <w:start w:val="1"/>
      <w:numFmt w:val="bullet"/>
      <w:lvlText w:val="-"/>
      <w:lvlJc w:val="left"/>
      <w:pPr>
        <w:tabs>
          <w:tab w:val="num" w:pos="4320"/>
        </w:tabs>
        <w:ind w:left="4320" w:hanging="360"/>
      </w:pPr>
      <w:rPr>
        <w:rFonts w:ascii="Times New Roman" w:hAnsi="Times New Roman" w:hint="default"/>
      </w:rPr>
    </w:lvl>
    <w:lvl w:ilvl="6" w:tplc="55B46208" w:tentative="1">
      <w:start w:val="1"/>
      <w:numFmt w:val="bullet"/>
      <w:lvlText w:val="-"/>
      <w:lvlJc w:val="left"/>
      <w:pPr>
        <w:tabs>
          <w:tab w:val="num" w:pos="5040"/>
        </w:tabs>
        <w:ind w:left="5040" w:hanging="360"/>
      </w:pPr>
      <w:rPr>
        <w:rFonts w:ascii="Times New Roman" w:hAnsi="Times New Roman" w:hint="default"/>
      </w:rPr>
    </w:lvl>
    <w:lvl w:ilvl="7" w:tplc="66E860CA" w:tentative="1">
      <w:start w:val="1"/>
      <w:numFmt w:val="bullet"/>
      <w:lvlText w:val="-"/>
      <w:lvlJc w:val="left"/>
      <w:pPr>
        <w:tabs>
          <w:tab w:val="num" w:pos="5760"/>
        </w:tabs>
        <w:ind w:left="5760" w:hanging="360"/>
      </w:pPr>
      <w:rPr>
        <w:rFonts w:ascii="Times New Roman" w:hAnsi="Times New Roman" w:hint="default"/>
      </w:rPr>
    </w:lvl>
    <w:lvl w:ilvl="8" w:tplc="A420FE7E"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0"/>
  </w:num>
  <w:num w:numId="4">
    <w:abstractNumId w:val="48"/>
  </w:num>
  <w:num w:numId="5">
    <w:abstractNumId w:val="46"/>
  </w:num>
  <w:num w:numId="6">
    <w:abstractNumId w:val="42"/>
  </w:num>
  <w:num w:numId="7">
    <w:abstractNumId w:val="43"/>
  </w:num>
  <w:num w:numId="8">
    <w:abstractNumId w:val="19"/>
  </w:num>
  <w:num w:numId="9">
    <w:abstractNumId w:val="38"/>
  </w:num>
  <w:num w:numId="10">
    <w:abstractNumId w:val="16"/>
  </w:num>
  <w:num w:numId="11">
    <w:abstractNumId w:val="22"/>
  </w:num>
  <w:num w:numId="12">
    <w:abstractNumId w:val="12"/>
  </w:num>
  <w:num w:numId="13">
    <w:abstractNumId w:val="30"/>
  </w:num>
  <w:num w:numId="14">
    <w:abstractNumId w:val="27"/>
  </w:num>
  <w:num w:numId="15">
    <w:abstractNumId w:val="47"/>
  </w:num>
  <w:num w:numId="16">
    <w:abstractNumId w:val="18"/>
  </w:num>
  <w:num w:numId="17">
    <w:abstractNumId w:val="56"/>
  </w:num>
  <w:num w:numId="18">
    <w:abstractNumId w:val="36"/>
  </w:num>
  <w:num w:numId="19">
    <w:abstractNumId w:val="13"/>
  </w:num>
  <w:num w:numId="20">
    <w:abstractNumId w:val="55"/>
  </w:num>
  <w:num w:numId="21">
    <w:abstractNumId w:val="6"/>
  </w:num>
  <w:num w:numId="22">
    <w:abstractNumId w:val="6"/>
  </w:num>
  <w:num w:numId="23">
    <w:abstractNumId w:val="6"/>
  </w:num>
  <w:num w:numId="24">
    <w:abstractNumId w:val="6"/>
  </w:num>
  <w:num w:numId="25">
    <w:abstractNumId w:val="6"/>
  </w:num>
  <w:num w:numId="26">
    <w:abstractNumId w:val="26"/>
  </w:num>
  <w:num w:numId="27">
    <w:abstractNumId w:val="51"/>
  </w:num>
  <w:num w:numId="28">
    <w:abstractNumId w:val="51"/>
  </w:num>
  <w:num w:numId="29">
    <w:abstractNumId w:val="51"/>
  </w:num>
  <w:num w:numId="30">
    <w:abstractNumId w:val="51"/>
  </w:num>
  <w:num w:numId="31">
    <w:abstractNumId w:val="51"/>
  </w:num>
  <w:num w:numId="32">
    <w:abstractNumId w:val="51"/>
  </w:num>
  <w:num w:numId="33">
    <w:abstractNumId w:val="51"/>
  </w:num>
  <w:num w:numId="34">
    <w:abstractNumId w:val="11"/>
  </w:num>
  <w:num w:numId="35">
    <w:abstractNumId w:val="51"/>
  </w:num>
  <w:num w:numId="36">
    <w:abstractNumId w:val="21"/>
  </w:num>
  <w:num w:numId="37">
    <w:abstractNumId w:val="39"/>
  </w:num>
  <w:num w:numId="38">
    <w:abstractNumId w:val="8"/>
  </w:num>
  <w:num w:numId="39">
    <w:abstractNumId w:val="0"/>
  </w:num>
  <w:num w:numId="40">
    <w:abstractNumId w:val="32"/>
  </w:num>
  <w:num w:numId="41">
    <w:abstractNumId w:val="10"/>
  </w:num>
  <w:num w:numId="42">
    <w:abstractNumId w:val="37"/>
  </w:num>
  <w:num w:numId="43">
    <w:abstractNumId w:val="24"/>
  </w:num>
  <w:num w:numId="44">
    <w:abstractNumId w:val="28"/>
  </w:num>
  <w:num w:numId="45">
    <w:abstractNumId w:val="53"/>
  </w:num>
  <w:num w:numId="46">
    <w:abstractNumId w:val="34"/>
  </w:num>
  <w:num w:numId="47">
    <w:abstractNumId w:val="5"/>
  </w:num>
  <w:num w:numId="48">
    <w:abstractNumId w:val="14"/>
  </w:num>
  <w:num w:numId="49">
    <w:abstractNumId w:val="3"/>
  </w:num>
  <w:num w:numId="50">
    <w:abstractNumId w:val="15"/>
  </w:num>
  <w:num w:numId="51">
    <w:abstractNumId w:val="17"/>
  </w:num>
  <w:num w:numId="52">
    <w:abstractNumId w:val="40"/>
  </w:num>
  <w:num w:numId="53">
    <w:abstractNumId w:val="35"/>
  </w:num>
  <w:num w:numId="54">
    <w:abstractNumId w:val="23"/>
  </w:num>
  <w:num w:numId="55">
    <w:abstractNumId w:val="33"/>
  </w:num>
  <w:num w:numId="56">
    <w:abstractNumId w:val="29"/>
  </w:num>
  <w:num w:numId="57">
    <w:abstractNumId w:val="20"/>
  </w:num>
  <w:num w:numId="58">
    <w:abstractNumId w:val="31"/>
  </w:num>
  <w:num w:numId="59">
    <w:abstractNumId w:val="1"/>
  </w:num>
  <w:num w:numId="60">
    <w:abstractNumId w:val="45"/>
  </w:num>
  <w:num w:numId="61">
    <w:abstractNumId w:val="7"/>
  </w:num>
  <w:num w:numId="62">
    <w:abstractNumId w:val="52"/>
  </w:num>
  <w:num w:numId="63">
    <w:abstractNumId w:val="41"/>
  </w:num>
  <w:num w:numId="64">
    <w:abstractNumId w:val="54"/>
  </w:num>
  <w:num w:numId="65">
    <w:abstractNumId w:val="44"/>
  </w:num>
  <w:num w:numId="66">
    <w:abstractNumId w:val="9"/>
  </w:num>
  <w:num w:numId="67">
    <w:abstractNumId w:val="49"/>
  </w:num>
  <w:num w:numId="68">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C69"/>
    <w:rsid w:val="000023B2"/>
    <w:rsid w:val="0000355A"/>
    <w:rsid w:val="000035A3"/>
    <w:rsid w:val="000035F9"/>
    <w:rsid w:val="0000656B"/>
    <w:rsid w:val="00006960"/>
    <w:rsid w:val="00007A13"/>
    <w:rsid w:val="00007BE4"/>
    <w:rsid w:val="00010F94"/>
    <w:rsid w:val="000137A5"/>
    <w:rsid w:val="00016832"/>
    <w:rsid w:val="00017C51"/>
    <w:rsid w:val="00017D31"/>
    <w:rsid w:val="00020134"/>
    <w:rsid w:val="00020B0E"/>
    <w:rsid w:val="000215A6"/>
    <w:rsid w:val="00021E7B"/>
    <w:rsid w:val="000222C1"/>
    <w:rsid w:val="00023EC6"/>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67A"/>
    <w:rsid w:val="00050BC2"/>
    <w:rsid w:val="000519FA"/>
    <w:rsid w:val="0005271D"/>
    <w:rsid w:val="00052FF1"/>
    <w:rsid w:val="000549D5"/>
    <w:rsid w:val="00054DD0"/>
    <w:rsid w:val="00055899"/>
    <w:rsid w:val="00055C01"/>
    <w:rsid w:val="00056294"/>
    <w:rsid w:val="00057895"/>
    <w:rsid w:val="00057BAC"/>
    <w:rsid w:val="00057C8B"/>
    <w:rsid w:val="00057E68"/>
    <w:rsid w:val="000618F1"/>
    <w:rsid w:val="00061AE4"/>
    <w:rsid w:val="00061C7C"/>
    <w:rsid w:val="0006202B"/>
    <w:rsid w:val="000628DB"/>
    <w:rsid w:val="00062CAA"/>
    <w:rsid w:val="00063381"/>
    <w:rsid w:val="000639AB"/>
    <w:rsid w:val="00064757"/>
    <w:rsid w:val="000648EA"/>
    <w:rsid w:val="000648F1"/>
    <w:rsid w:val="000654AE"/>
    <w:rsid w:val="00067574"/>
    <w:rsid w:val="00067BC8"/>
    <w:rsid w:val="00067F85"/>
    <w:rsid w:val="00071BD3"/>
    <w:rsid w:val="00071BF9"/>
    <w:rsid w:val="00071EC9"/>
    <w:rsid w:val="00072A13"/>
    <w:rsid w:val="00072FBD"/>
    <w:rsid w:val="000746F1"/>
    <w:rsid w:val="00074772"/>
    <w:rsid w:val="0007498A"/>
    <w:rsid w:val="00075BA9"/>
    <w:rsid w:val="00076BAB"/>
    <w:rsid w:val="00076BEE"/>
    <w:rsid w:val="00077209"/>
    <w:rsid w:val="00080069"/>
    <w:rsid w:val="00080A19"/>
    <w:rsid w:val="00080C3E"/>
    <w:rsid w:val="00080E0B"/>
    <w:rsid w:val="00082A2F"/>
    <w:rsid w:val="000831D6"/>
    <w:rsid w:val="000835B5"/>
    <w:rsid w:val="000836E2"/>
    <w:rsid w:val="00084617"/>
    <w:rsid w:val="000852A4"/>
    <w:rsid w:val="000872D9"/>
    <w:rsid w:val="00087BB7"/>
    <w:rsid w:val="0009000A"/>
    <w:rsid w:val="00090B73"/>
    <w:rsid w:val="00092B8E"/>
    <w:rsid w:val="00092DC8"/>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0CFD"/>
    <w:rsid w:val="000B12C8"/>
    <w:rsid w:val="000B4C03"/>
    <w:rsid w:val="000B4ECA"/>
    <w:rsid w:val="000B60C9"/>
    <w:rsid w:val="000C061E"/>
    <w:rsid w:val="000C10EA"/>
    <w:rsid w:val="000C1F38"/>
    <w:rsid w:val="000C2A54"/>
    <w:rsid w:val="000C3792"/>
    <w:rsid w:val="000C3C2C"/>
    <w:rsid w:val="000C63B7"/>
    <w:rsid w:val="000C6CB0"/>
    <w:rsid w:val="000C7447"/>
    <w:rsid w:val="000C790A"/>
    <w:rsid w:val="000D01FE"/>
    <w:rsid w:val="000D0D93"/>
    <w:rsid w:val="000D287C"/>
    <w:rsid w:val="000D403A"/>
    <w:rsid w:val="000D589E"/>
    <w:rsid w:val="000D7382"/>
    <w:rsid w:val="000D7AA1"/>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64A3"/>
    <w:rsid w:val="000F64BD"/>
    <w:rsid w:val="001005D2"/>
    <w:rsid w:val="00102A48"/>
    <w:rsid w:val="00103493"/>
    <w:rsid w:val="00103FE5"/>
    <w:rsid w:val="001043C5"/>
    <w:rsid w:val="00105761"/>
    <w:rsid w:val="00105C9E"/>
    <w:rsid w:val="0010616A"/>
    <w:rsid w:val="00107DCA"/>
    <w:rsid w:val="00110759"/>
    <w:rsid w:val="00112599"/>
    <w:rsid w:val="0011607A"/>
    <w:rsid w:val="00116F84"/>
    <w:rsid w:val="001175C0"/>
    <w:rsid w:val="00117D73"/>
    <w:rsid w:val="00120438"/>
    <w:rsid w:val="00121322"/>
    <w:rsid w:val="00122123"/>
    <w:rsid w:val="00122402"/>
    <w:rsid w:val="00122497"/>
    <w:rsid w:val="00122ADB"/>
    <w:rsid w:val="001239D5"/>
    <w:rsid w:val="0012499A"/>
    <w:rsid w:val="0012566C"/>
    <w:rsid w:val="00126380"/>
    <w:rsid w:val="00126AE3"/>
    <w:rsid w:val="0012710E"/>
    <w:rsid w:val="0013288C"/>
    <w:rsid w:val="00132E99"/>
    <w:rsid w:val="001330E2"/>
    <w:rsid w:val="00133208"/>
    <w:rsid w:val="0013389B"/>
    <w:rsid w:val="0013566F"/>
    <w:rsid w:val="001363A9"/>
    <w:rsid w:val="0013664C"/>
    <w:rsid w:val="001370D1"/>
    <w:rsid w:val="00137AA0"/>
    <w:rsid w:val="00141632"/>
    <w:rsid w:val="001418C6"/>
    <w:rsid w:val="00142257"/>
    <w:rsid w:val="00142E62"/>
    <w:rsid w:val="00144667"/>
    <w:rsid w:val="00144CAC"/>
    <w:rsid w:val="001452A9"/>
    <w:rsid w:val="00145B91"/>
    <w:rsid w:val="00145BF9"/>
    <w:rsid w:val="00147201"/>
    <w:rsid w:val="0014725D"/>
    <w:rsid w:val="00147D27"/>
    <w:rsid w:val="00150804"/>
    <w:rsid w:val="00150EBE"/>
    <w:rsid w:val="00152F03"/>
    <w:rsid w:val="00154607"/>
    <w:rsid w:val="00155141"/>
    <w:rsid w:val="001557C1"/>
    <w:rsid w:val="00155853"/>
    <w:rsid w:val="00155EB6"/>
    <w:rsid w:val="00157B57"/>
    <w:rsid w:val="0016025C"/>
    <w:rsid w:val="00160717"/>
    <w:rsid w:val="001619F2"/>
    <w:rsid w:val="00163F2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22C2"/>
    <w:rsid w:val="00183472"/>
    <w:rsid w:val="001840DF"/>
    <w:rsid w:val="00184579"/>
    <w:rsid w:val="0018472F"/>
    <w:rsid w:val="00184766"/>
    <w:rsid w:val="00186643"/>
    <w:rsid w:val="00187C6F"/>
    <w:rsid w:val="00187E75"/>
    <w:rsid w:val="0019047F"/>
    <w:rsid w:val="00190590"/>
    <w:rsid w:val="00192931"/>
    <w:rsid w:val="00192935"/>
    <w:rsid w:val="00193810"/>
    <w:rsid w:val="00194081"/>
    <w:rsid w:val="00194850"/>
    <w:rsid w:val="00196AC9"/>
    <w:rsid w:val="001978FE"/>
    <w:rsid w:val="00197E0B"/>
    <w:rsid w:val="001A0F58"/>
    <w:rsid w:val="001A3304"/>
    <w:rsid w:val="001A3DBF"/>
    <w:rsid w:val="001A4BC4"/>
    <w:rsid w:val="001A5D61"/>
    <w:rsid w:val="001A5EAB"/>
    <w:rsid w:val="001A6D9F"/>
    <w:rsid w:val="001B1082"/>
    <w:rsid w:val="001B15D0"/>
    <w:rsid w:val="001B1807"/>
    <w:rsid w:val="001B20D7"/>
    <w:rsid w:val="001B2A70"/>
    <w:rsid w:val="001B2C43"/>
    <w:rsid w:val="001B30BA"/>
    <w:rsid w:val="001B391C"/>
    <w:rsid w:val="001B3F85"/>
    <w:rsid w:val="001B44FE"/>
    <w:rsid w:val="001B4ABF"/>
    <w:rsid w:val="001B53EC"/>
    <w:rsid w:val="001B732E"/>
    <w:rsid w:val="001B75C5"/>
    <w:rsid w:val="001C1290"/>
    <w:rsid w:val="001C158B"/>
    <w:rsid w:val="001C1EF4"/>
    <w:rsid w:val="001C25E1"/>
    <w:rsid w:val="001C4622"/>
    <w:rsid w:val="001C64F9"/>
    <w:rsid w:val="001C66D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144"/>
    <w:rsid w:val="001E46B5"/>
    <w:rsid w:val="001E4748"/>
    <w:rsid w:val="001E4EC8"/>
    <w:rsid w:val="001E4FDE"/>
    <w:rsid w:val="001E5FE9"/>
    <w:rsid w:val="001E6279"/>
    <w:rsid w:val="001E6371"/>
    <w:rsid w:val="001E66B6"/>
    <w:rsid w:val="001E71BE"/>
    <w:rsid w:val="001E7561"/>
    <w:rsid w:val="001F0323"/>
    <w:rsid w:val="001F0DEB"/>
    <w:rsid w:val="001F46A7"/>
    <w:rsid w:val="001F5894"/>
    <w:rsid w:val="001F5BEE"/>
    <w:rsid w:val="001F6A45"/>
    <w:rsid w:val="00200544"/>
    <w:rsid w:val="0020061D"/>
    <w:rsid w:val="0020217A"/>
    <w:rsid w:val="00202FFE"/>
    <w:rsid w:val="00205EFB"/>
    <w:rsid w:val="00206E46"/>
    <w:rsid w:val="002071E5"/>
    <w:rsid w:val="00207228"/>
    <w:rsid w:val="00211821"/>
    <w:rsid w:val="00213FE1"/>
    <w:rsid w:val="00214F4F"/>
    <w:rsid w:val="0021618C"/>
    <w:rsid w:val="002162CD"/>
    <w:rsid w:val="00216CBB"/>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36FE"/>
    <w:rsid w:val="0023461E"/>
    <w:rsid w:val="0023580A"/>
    <w:rsid w:val="0023581C"/>
    <w:rsid w:val="00235B85"/>
    <w:rsid w:val="0023711F"/>
    <w:rsid w:val="00242763"/>
    <w:rsid w:val="0024294C"/>
    <w:rsid w:val="0024311D"/>
    <w:rsid w:val="002431C2"/>
    <w:rsid w:val="0024363B"/>
    <w:rsid w:val="00243E1C"/>
    <w:rsid w:val="00245114"/>
    <w:rsid w:val="002462B0"/>
    <w:rsid w:val="00246B00"/>
    <w:rsid w:val="002476A2"/>
    <w:rsid w:val="00247842"/>
    <w:rsid w:val="00251059"/>
    <w:rsid w:val="00251081"/>
    <w:rsid w:val="00252734"/>
    <w:rsid w:val="00253223"/>
    <w:rsid w:val="00253FFC"/>
    <w:rsid w:val="0025426A"/>
    <w:rsid w:val="00254429"/>
    <w:rsid w:val="00254B74"/>
    <w:rsid w:val="002554AD"/>
    <w:rsid w:val="002557DB"/>
    <w:rsid w:val="00255863"/>
    <w:rsid w:val="00256D54"/>
    <w:rsid w:val="00260B5A"/>
    <w:rsid w:val="00261DFE"/>
    <w:rsid w:val="002623FA"/>
    <w:rsid w:val="00264714"/>
    <w:rsid w:val="00264C1D"/>
    <w:rsid w:val="00264C75"/>
    <w:rsid w:val="002653D0"/>
    <w:rsid w:val="002653F7"/>
    <w:rsid w:val="00266846"/>
    <w:rsid w:val="0027054D"/>
    <w:rsid w:val="0027077A"/>
    <w:rsid w:val="0027546C"/>
    <w:rsid w:val="002763CB"/>
    <w:rsid w:val="0027793D"/>
    <w:rsid w:val="00281A49"/>
    <w:rsid w:val="00281BD0"/>
    <w:rsid w:val="00281C48"/>
    <w:rsid w:val="002827B1"/>
    <w:rsid w:val="00283331"/>
    <w:rsid w:val="00284763"/>
    <w:rsid w:val="00284E2F"/>
    <w:rsid w:val="00285BC3"/>
    <w:rsid w:val="00287258"/>
    <w:rsid w:val="00287A86"/>
    <w:rsid w:val="0029020E"/>
    <w:rsid w:val="00291A38"/>
    <w:rsid w:val="00291C32"/>
    <w:rsid w:val="00292F13"/>
    <w:rsid w:val="00293668"/>
    <w:rsid w:val="00294494"/>
    <w:rsid w:val="0029466A"/>
    <w:rsid w:val="002947EB"/>
    <w:rsid w:val="00294D15"/>
    <w:rsid w:val="0029596C"/>
    <w:rsid w:val="0029675E"/>
    <w:rsid w:val="002972E0"/>
    <w:rsid w:val="002A0227"/>
    <w:rsid w:val="002A059C"/>
    <w:rsid w:val="002A30C1"/>
    <w:rsid w:val="002A3293"/>
    <w:rsid w:val="002A3DC4"/>
    <w:rsid w:val="002A5311"/>
    <w:rsid w:val="002A5488"/>
    <w:rsid w:val="002A5509"/>
    <w:rsid w:val="002A5BCC"/>
    <w:rsid w:val="002A7711"/>
    <w:rsid w:val="002B0B4B"/>
    <w:rsid w:val="002B3F41"/>
    <w:rsid w:val="002B43FE"/>
    <w:rsid w:val="002B4623"/>
    <w:rsid w:val="002B4A5B"/>
    <w:rsid w:val="002B5306"/>
    <w:rsid w:val="002B6FA4"/>
    <w:rsid w:val="002C0503"/>
    <w:rsid w:val="002C08CE"/>
    <w:rsid w:val="002C0C8B"/>
    <w:rsid w:val="002C0E01"/>
    <w:rsid w:val="002C1862"/>
    <w:rsid w:val="002C2445"/>
    <w:rsid w:val="002C4D5E"/>
    <w:rsid w:val="002D0B99"/>
    <w:rsid w:val="002D15A4"/>
    <w:rsid w:val="002D24D0"/>
    <w:rsid w:val="002D293F"/>
    <w:rsid w:val="002D3D84"/>
    <w:rsid w:val="002D4B66"/>
    <w:rsid w:val="002D504D"/>
    <w:rsid w:val="002D6E8E"/>
    <w:rsid w:val="002D71D6"/>
    <w:rsid w:val="002E0233"/>
    <w:rsid w:val="002E0FB4"/>
    <w:rsid w:val="002E1513"/>
    <w:rsid w:val="002E564A"/>
    <w:rsid w:val="002E684A"/>
    <w:rsid w:val="002E7049"/>
    <w:rsid w:val="002F1066"/>
    <w:rsid w:val="002F18A9"/>
    <w:rsid w:val="002F1EF7"/>
    <w:rsid w:val="002F2BBC"/>
    <w:rsid w:val="002F3E5A"/>
    <w:rsid w:val="002F42D2"/>
    <w:rsid w:val="002F56DC"/>
    <w:rsid w:val="002F56E7"/>
    <w:rsid w:val="002F64BF"/>
    <w:rsid w:val="00300C6E"/>
    <w:rsid w:val="003011D8"/>
    <w:rsid w:val="00301A73"/>
    <w:rsid w:val="00303ED4"/>
    <w:rsid w:val="003073BF"/>
    <w:rsid w:val="00312225"/>
    <w:rsid w:val="0031260B"/>
    <w:rsid w:val="00313142"/>
    <w:rsid w:val="00313E04"/>
    <w:rsid w:val="00314AF9"/>
    <w:rsid w:val="00314F16"/>
    <w:rsid w:val="0031567C"/>
    <w:rsid w:val="0031664B"/>
    <w:rsid w:val="0031678A"/>
    <w:rsid w:val="00316C64"/>
    <w:rsid w:val="00316E65"/>
    <w:rsid w:val="003227C2"/>
    <w:rsid w:val="00322A5E"/>
    <w:rsid w:val="00322B3C"/>
    <w:rsid w:val="00322FF7"/>
    <w:rsid w:val="00323FCF"/>
    <w:rsid w:val="00325B11"/>
    <w:rsid w:val="00325F89"/>
    <w:rsid w:val="00325F8E"/>
    <w:rsid w:val="00326C1F"/>
    <w:rsid w:val="00326E11"/>
    <w:rsid w:val="00330148"/>
    <w:rsid w:val="00331232"/>
    <w:rsid w:val="00331BC6"/>
    <w:rsid w:val="003327A4"/>
    <w:rsid w:val="00334D52"/>
    <w:rsid w:val="003360F1"/>
    <w:rsid w:val="003367CA"/>
    <w:rsid w:val="00336803"/>
    <w:rsid w:val="00336F51"/>
    <w:rsid w:val="003402CF"/>
    <w:rsid w:val="00340733"/>
    <w:rsid w:val="0034182C"/>
    <w:rsid w:val="003423D4"/>
    <w:rsid w:val="0034322E"/>
    <w:rsid w:val="00343A89"/>
    <w:rsid w:val="00343E11"/>
    <w:rsid w:val="003450C7"/>
    <w:rsid w:val="00345A8B"/>
    <w:rsid w:val="00346842"/>
    <w:rsid w:val="00346FD3"/>
    <w:rsid w:val="00347A04"/>
    <w:rsid w:val="00347D69"/>
    <w:rsid w:val="003501D3"/>
    <w:rsid w:val="0035022C"/>
    <w:rsid w:val="003506B3"/>
    <w:rsid w:val="003524E2"/>
    <w:rsid w:val="0035285F"/>
    <w:rsid w:val="00353680"/>
    <w:rsid w:val="00354398"/>
    <w:rsid w:val="0035455A"/>
    <w:rsid w:val="00356DBF"/>
    <w:rsid w:val="00356E56"/>
    <w:rsid w:val="00360C68"/>
    <w:rsid w:val="00361427"/>
    <w:rsid w:val="00362B48"/>
    <w:rsid w:val="003636EE"/>
    <w:rsid w:val="003637A9"/>
    <w:rsid w:val="00363F55"/>
    <w:rsid w:val="00363FDF"/>
    <w:rsid w:val="003645D3"/>
    <w:rsid w:val="00364728"/>
    <w:rsid w:val="00364CD5"/>
    <w:rsid w:val="00365D0A"/>
    <w:rsid w:val="00365D0B"/>
    <w:rsid w:val="00365FC7"/>
    <w:rsid w:val="003667C9"/>
    <w:rsid w:val="003673CC"/>
    <w:rsid w:val="0036758B"/>
    <w:rsid w:val="00370A43"/>
    <w:rsid w:val="00373250"/>
    <w:rsid w:val="00373E23"/>
    <w:rsid w:val="00373EAF"/>
    <w:rsid w:val="00373FE4"/>
    <w:rsid w:val="0037437D"/>
    <w:rsid w:val="00374CD3"/>
    <w:rsid w:val="00375407"/>
    <w:rsid w:val="0037598E"/>
    <w:rsid w:val="0037633E"/>
    <w:rsid w:val="00377F40"/>
    <w:rsid w:val="00380169"/>
    <w:rsid w:val="003810A3"/>
    <w:rsid w:val="00384424"/>
    <w:rsid w:val="00384788"/>
    <w:rsid w:val="00384AB5"/>
    <w:rsid w:val="00385819"/>
    <w:rsid w:val="00386524"/>
    <w:rsid w:val="003870D0"/>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77AC"/>
    <w:rsid w:val="003A79AC"/>
    <w:rsid w:val="003B0925"/>
    <w:rsid w:val="003B1C92"/>
    <w:rsid w:val="003B1CAC"/>
    <w:rsid w:val="003B47A7"/>
    <w:rsid w:val="003B5995"/>
    <w:rsid w:val="003B69F3"/>
    <w:rsid w:val="003C0B0D"/>
    <w:rsid w:val="003C112E"/>
    <w:rsid w:val="003C3CCE"/>
    <w:rsid w:val="003C61F5"/>
    <w:rsid w:val="003C6317"/>
    <w:rsid w:val="003C77FF"/>
    <w:rsid w:val="003C79B8"/>
    <w:rsid w:val="003C7C14"/>
    <w:rsid w:val="003D2AFF"/>
    <w:rsid w:val="003D2EA5"/>
    <w:rsid w:val="003D300C"/>
    <w:rsid w:val="003D45CB"/>
    <w:rsid w:val="003D467F"/>
    <w:rsid w:val="003D548A"/>
    <w:rsid w:val="003D59C4"/>
    <w:rsid w:val="003D5B1B"/>
    <w:rsid w:val="003D5E0A"/>
    <w:rsid w:val="003D6EAE"/>
    <w:rsid w:val="003D7128"/>
    <w:rsid w:val="003D7F2C"/>
    <w:rsid w:val="003E13BC"/>
    <w:rsid w:val="003E4054"/>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06EE4"/>
    <w:rsid w:val="00410186"/>
    <w:rsid w:val="0041109B"/>
    <w:rsid w:val="0041147C"/>
    <w:rsid w:val="0041197D"/>
    <w:rsid w:val="0041341B"/>
    <w:rsid w:val="004137A7"/>
    <w:rsid w:val="00413E0F"/>
    <w:rsid w:val="00414DEC"/>
    <w:rsid w:val="00415612"/>
    <w:rsid w:val="00415CE1"/>
    <w:rsid w:val="0041618F"/>
    <w:rsid w:val="00416B80"/>
    <w:rsid w:val="00416EEC"/>
    <w:rsid w:val="00416F0B"/>
    <w:rsid w:val="00417887"/>
    <w:rsid w:val="00417D8D"/>
    <w:rsid w:val="00417FE0"/>
    <w:rsid w:val="00420931"/>
    <w:rsid w:val="00420E1D"/>
    <w:rsid w:val="004226D5"/>
    <w:rsid w:val="004246FC"/>
    <w:rsid w:val="004249AE"/>
    <w:rsid w:val="004252B9"/>
    <w:rsid w:val="0042587B"/>
    <w:rsid w:val="00425E1C"/>
    <w:rsid w:val="00426B85"/>
    <w:rsid w:val="00427143"/>
    <w:rsid w:val="004277D7"/>
    <w:rsid w:val="00427F23"/>
    <w:rsid w:val="00430095"/>
    <w:rsid w:val="00430D3F"/>
    <w:rsid w:val="00431057"/>
    <w:rsid w:val="00431FAC"/>
    <w:rsid w:val="004348D2"/>
    <w:rsid w:val="004364E9"/>
    <w:rsid w:val="00437422"/>
    <w:rsid w:val="004378DA"/>
    <w:rsid w:val="004401EA"/>
    <w:rsid w:val="00440779"/>
    <w:rsid w:val="00442B7E"/>
    <w:rsid w:val="00443D02"/>
    <w:rsid w:val="00444293"/>
    <w:rsid w:val="00445C55"/>
    <w:rsid w:val="004476F8"/>
    <w:rsid w:val="00451ABC"/>
    <w:rsid w:val="0045439F"/>
    <w:rsid w:val="00454AE5"/>
    <w:rsid w:val="00456005"/>
    <w:rsid w:val="0045614C"/>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BA3"/>
    <w:rsid w:val="0047216D"/>
    <w:rsid w:val="00472B68"/>
    <w:rsid w:val="00473BBA"/>
    <w:rsid w:val="00474D5C"/>
    <w:rsid w:val="004755C9"/>
    <w:rsid w:val="0047683B"/>
    <w:rsid w:val="004775CD"/>
    <w:rsid w:val="00480443"/>
    <w:rsid w:val="004819EB"/>
    <w:rsid w:val="00484AF8"/>
    <w:rsid w:val="00486375"/>
    <w:rsid w:val="0048671E"/>
    <w:rsid w:val="004910C5"/>
    <w:rsid w:val="0049136B"/>
    <w:rsid w:val="00491475"/>
    <w:rsid w:val="00491B2F"/>
    <w:rsid w:val="00491C89"/>
    <w:rsid w:val="00492CF5"/>
    <w:rsid w:val="004935FF"/>
    <w:rsid w:val="00493C1E"/>
    <w:rsid w:val="004958CC"/>
    <w:rsid w:val="00495CD4"/>
    <w:rsid w:val="00495D6A"/>
    <w:rsid w:val="00496E3E"/>
    <w:rsid w:val="004A0E08"/>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2D55"/>
    <w:rsid w:val="004C327F"/>
    <w:rsid w:val="004C338C"/>
    <w:rsid w:val="004C3D4B"/>
    <w:rsid w:val="004C5F6D"/>
    <w:rsid w:val="004C7C48"/>
    <w:rsid w:val="004D046D"/>
    <w:rsid w:val="004D08D5"/>
    <w:rsid w:val="004D29E5"/>
    <w:rsid w:val="004D3A80"/>
    <w:rsid w:val="004D4273"/>
    <w:rsid w:val="004D4490"/>
    <w:rsid w:val="004D4921"/>
    <w:rsid w:val="004D5A4C"/>
    <w:rsid w:val="004D75EC"/>
    <w:rsid w:val="004D7B11"/>
    <w:rsid w:val="004E1769"/>
    <w:rsid w:val="004E2449"/>
    <w:rsid w:val="004E3CFC"/>
    <w:rsid w:val="004E4008"/>
    <w:rsid w:val="004E4977"/>
    <w:rsid w:val="004E7559"/>
    <w:rsid w:val="004E7AC3"/>
    <w:rsid w:val="004F0260"/>
    <w:rsid w:val="004F0DA1"/>
    <w:rsid w:val="004F1DBC"/>
    <w:rsid w:val="004F2EB6"/>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4149"/>
    <w:rsid w:val="00515A3F"/>
    <w:rsid w:val="00515E12"/>
    <w:rsid w:val="00517B60"/>
    <w:rsid w:val="005226B4"/>
    <w:rsid w:val="00522C8F"/>
    <w:rsid w:val="005260C9"/>
    <w:rsid w:val="005300CD"/>
    <w:rsid w:val="00530DCF"/>
    <w:rsid w:val="00531BCD"/>
    <w:rsid w:val="00531EE8"/>
    <w:rsid w:val="00532510"/>
    <w:rsid w:val="00535D82"/>
    <w:rsid w:val="0053617F"/>
    <w:rsid w:val="0053790E"/>
    <w:rsid w:val="005410D8"/>
    <w:rsid w:val="005410ED"/>
    <w:rsid w:val="005418DF"/>
    <w:rsid w:val="005437CC"/>
    <w:rsid w:val="00544162"/>
    <w:rsid w:val="0054444F"/>
    <w:rsid w:val="00545541"/>
    <w:rsid w:val="005457D6"/>
    <w:rsid w:val="00546B77"/>
    <w:rsid w:val="00551AE9"/>
    <w:rsid w:val="00552233"/>
    <w:rsid w:val="005537AF"/>
    <w:rsid w:val="00555C32"/>
    <w:rsid w:val="005563D0"/>
    <w:rsid w:val="00557B59"/>
    <w:rsid w:val="00557C8D"/>
    <w:rsid w:val="00560492"/>
    <w:rsid w:val="005610BA"/>
    <w:rsid w:val="00561B10"/>
    <w:rsid w:val="005621B2"/>
    <w:rsid w:val="00562A56"/>
    <w:rsid w:val="00564B0D"/>
    <w:rsid w:val="00564D0B"/>
    <w:rsid w:val="00565CA6"/>
    <w:rsid w:val="005667CB"/>
    <w:rsid w:val="00573761"/>
    <w:rsid w:val="00573F04"/>
    <w:rsid w:val="0057688C"/>
    <w:rsid w:val="0057719B"/>
    <w:rsid w:val="00577977"/>
    <w:rsid w:val="00577FF7"/>
    <w:rsid w:val="00580250"/>
    <w:rsid w:val="00580A1A"/>
    <w:rsid w:val="00580D78"/>
    <w:rsid w:val="0058246B"/>
    <w:rsid w:val="0058372F"/>
    <w:rsid w:val="00584556"/>
    <w:rsid w:val="00584949"/>
    <w:rsid w:val="00585B04"/>
    <w:rsid w:val="00587672"/>
    <w:rsid w:val="005902A7"/>
    <w:rsid w:val="00591449"/>
    <w:rsid w:val="00591F38"/>
    <w:rsid w:val="0059716A"/>
    <w:rsid w:val="005974F8"/>
    <w:rsid w:val="005978BB"/>
    <w:rsid w:val="00597D9B"/>
    <w:rsid w:val="005A2593"/>
    <w:rsid w:val="005A32C5"/>
    <w:rsid w:val="005A3AB0"/>
    <w:rsid w:val="005A726C"/>
    <w:rsid w:val="005A7EE0"/>
    <w:rsid w:val="005B4121"/>
    <w:rsid w:val="005B43A0"/>
    <w:rsid w:val="005B48E3"/>
    <w:rsid w:val="005B5E6C"/>
    <w:rsid w:val="005B65CA"/>
    <w:rsid w:val="005B7B23"/>
    <w:rsid w:val="005C39BA"/>
    <w:rsid w:val="005C5ED2"/>
    <w:rsid w:val="005C6C3D"/>
    <w:rsid w:val="005C6D4A"/>
    <w:rsid w:val="005D0CE9"/>
    <w:rsid w:val="005D0E2E"/>
    <w:rsid w:val="005D1725"/>
    <w:rsid w:val="005D3854"/>
    <w:rsid w:val="005D3A3D"/>
    <w:rsid w:val="005D3C64"/>
    <w:rsid w:val="005D456F"/>
    <w:rsid w:val="005D4F3E"/>
    <w:rsid w:val="005D5B47"/>
    <w:rsid w:val="005D6C91"/>
    <w:rsid w:val="005E142E"/>
    <w:rsid w:val="005E1C43"/>
    <w:rsid w:val="005E1F5E"/>
    <w:rsid w:val="005E2DE2"/>
    <w:rsid w:val="005E4178"/>
    <w:rsid w:val="005E41CF"/>
    <w:rsid w:val="005E6D91"/>
    <w:rsid w:val="005E7812"/>
    <w:rsid w:val="005E7EB6"/>
    <w:rsid w:val="005F2252"/>
    <w:rsid w:val="005F2554"/>
    <w:rsid w:val="005F290F"/>
    <w:rsid w:val="005F4680"/>
    <w:rsid w:val="005F51CE"/>
    <w:rsid w:val="005F5335"/>
    <w:rsid w:val="005F5997"/>
    <w:rsid w:val="005F7A79"/>
    <w:rsid w:val="00601B0F"/>
    <w:rsid w:val="00601F50"/>
    <w:rsid w:val="00601FFC"/>
    <w:rsid w:val="006025E5"/>
    <w:rsid w:val="0060294C"/>
    <w:rsid w:val="00602D65"/>
    <w:rsid w:val="0060321E"/>
    <w:rsid w:val="00603688"/>
    <w:rsid w:val="006044E9"/>
    <w:rsid w:val="00605D68"/>
    <w:rsid w:val="006067C7"/>
    <w:rsid w:val="0060730C"/>
    <w:rsid w:val="006119CC"/>
    <w:rsid w:val="00612FC9"/>
    <w:rsid w:val="00613A08"/>
    <w:rsid w:val="00614777"/>
    <w:rsid w:val="0061611A"/>
    <w:rsid w:val="006162B6"/>
    <w:rsid w:val="00616E43"/>
    <w:rsid w:val="0061744E"/>
    <w:rsid w:val="0061765B"/>
    <w:rsid w:val="00620480"/>
    <w:rsid w:val="006205AB"/>
    <w:rsid w:val="00620675"/>
    <w:rsid w:val="00620902"/>
    <w:rsid w:val="00620B0E"/>
    <w:rsid w:val="00620FF5"/>
    <w:rsid w:val="0062332A"/>
    <w:rsid w:val="006236C2"/>
    <w:rsid w:val="0062382F"/>
    <w:rsid w:val="00623D46"/>
    <w:rsid w:val="006253FE"/>
    <w:rsid w:val="006304A7"/>
    <w:rsid w:val="00631DC3"/>
    <w:rsid w:val="00632173"/>
    <w:rsid w:val="006336C2"/>
    <w:rsid w:val="006341C0"/>
    <w:rsid w:val="00634E7C"/>
    <w:rsid w:val="00636998"/>
    <w:rsid w:val="00637627"/>
    <w:rsid w:val="00640358"/>
    <w:rsid w:val="006406D8"/>
    <w:rsid w:val="00641C19"/>
    <w:rsid w:val="00643C89"/>
    <w:rsid w:val="00646273"/>
    <w:rsid w:val="00651485"/>
    <w:rsid w:val="00651994"/>
    <w:rsid w:val="00652B3E"/>
    <w:rsid w:val="006535DB"/>
    <w:rsid w:val="006535EB"/>
    <w:rsid w:val="00654FBC"/>
    <w:rsid w:val="00655C73"/>
    <w:rsid w:val="0065791E"/>
    <w:rsid w:val="0066127C"/>
    <w:rsid w:val="006618FA"/>
    <w:rsid w:val="00661E40"/>
    <w:rsid w:val="006627CC"/>
    <w:rsid w:val="00663C46"/>
    <w:rsid w:val="00664BA3"/>
    <w:rsid w:val="0066560F"/>
    <w:rsid w:val="0066614D"/>
    <w:rsid w:val="00671E83"/>
    <w:rsid w:val="00672135"/>
    <w:rsid w:val="00672217"/>
    <w:rsid w:val="00672389"/>
    <w:rsid w:val="00675441"/>
    <w:rsid w:val="006801C5"/>
    <w:rsid w:val="00680649"/>
    <w:rsid w:val="00683463"/>
    <w:rsid w:val="00683938"/>
    <w:rsid w:val="00683CAD"/>
    <w:rsid w:val="00684C47"/>
    <w:rsid w:val="0068581F"/>
    <w:rsid w:val="00685F29"/>
    <w:rsid w:val="0069069B"/>
    <w:rsid w:val="00690D2D"/>
    <w:rsid w:val="00691265"/>
    <w:rsid w:val="00692210"/>
    <w:rsid w:val="00692AAF"/>
    <w:rsid w:val="006950E0"/>
    <w:rsid w:val="006953B0"/>
    <w:rsid w:val="006A00C7"/>
    <w:rsid w:val="006A0CBE"/>
    <w:rsid w:val="006A185F"/>
    <w:rsid w:val="006A1A84"/>
    <w:rsid w:val="006A1D7D"/>
    <w:rsid w:val="006A2AE9"/>
    <w:rsid w:val="006A4600"/>
    <w:rsid w:val="006A4F20"/>
    <w:rsid w:val="006B00D5"/>
    <w:rsid w:val="006B0179"/>
    <w:rsid w:val="006B0598"/>
    <w:rsid w:val="006B081A"/>
    <w:rsid w:val="006B316C"/>
    <w:rsid w:val="006B395F"/>
    <w:rsid w:val="006B3CEB"/>
    <w:rsid w:val="006B44A5"/>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5BC6"/>
    <w:rsid w:val="006E6C31"/>
    <w:rsid w:val="006E6E19"/>
    <w:rsid w:val="006E6FF0"/>
    <w:rsid w:val="006F0D26"/>
    <w:rsid w:val="006F1B31"/>
    <w:rsid w:val="006F1F6F"/>
    <w:rsid w:val="006F3E9B"/>
    <w:rsid w:val="006F55A5"/>
    <w:rsid w:val="006F7C8D"/>
    <w:rsid w:val="007007C2"/>
    <w:rsid w:val="007011BD"/>
    <w:rsid w:val="0070284B"/>
    <w:rsid w:val="00704465"/>
    <w:rsid w:val="00706472"/>
    <w:rsid w:val="00706536"/>
    <w:rsid w:val="00706E8F"/>
    <w:rsid w:val="00707EDB"/>
    <w:rsid w:val="00711FAD"/>
    <w:rsid w:val="007124CB"/>
    <w:rsid w:val="00713098"/>
    <w:rsid w:val="00714997"/>
    <w:rsid w:val="00714CCC"/>
    <w:rsid w:val="00715C70"/>
    <w:rsid w:val="007172DF"/>
    <w:rsid w:val="0071738D"/>
    <w:rsid w:val="00717CB8"/>
    <w:rsid w:val="00720B70"/>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D9A"/>
    <w:rsid w:val="0073651F"/>
    <w:rsid w:val="00736701"/>
    <w:rsid w:val="007373D9"/>
    <w:rsid w:val="00740EA0"/>
    <w:rsid w:val="00741893"/>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06CC"/>
    <w:rsid w:val="007721C7"/>
    <w:rsid w:val="00774AD3"/>
    <w:rsid w:val="0077521F"/>
    <w:rsid w:val="007762C7"/>
    <w:rsid w:val="00777A45"/>
    <w:rsid w:val="00777B6F"/>
    <w:rsid w:val="00777C69"/>
    <w:rsid w:val="0078028D"/>
    <w:rsid w:val="007825AF"/>
    <w:rsid w:val="007836DC"/>
    <w:rsid w:val="0078419B"/>
    <w:rsid w:val="00785E83"/>
    <w:rsid w:val="007861DF"/>
    <w:rsid w:val="007866A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B79A2"/>
    <w:rsid w:val="007C0911"/>
    <w:rsid w:val="007C1DD9"/>
    <w:rsid w:val="007C1F63"/>
    <w:rsid w:val="007C23CF"/>
    <w:rsid w:val="007C3153"/>
    <w:rsid w:val="007C34B4"/>
    <w:rsid w:val="007C3C38"/>
    <w:rsid w:val="007C63F9"/>
    <w:rsid w:val="007C70C7"/>
    <w:rsid w:val="007C715E"/>
    <w:rsid w:val="007D26A3"/>
    <w:rsid w:val="007D26FE"/>
    <w:rsid w:val="007D28C7"/>
    <w:rsid w:val="007D3218"/>
    <w:rsid w:val="007D3D65"/>
    <w:rsid w:val="007D41CA"/>
    <w:rsid w:val="007D60BF"/>
    <w:rsid w:val="007D75FC"/>
    <w:rsid w:val="007D7E09"/>
    <w:rsid w:val="007E1122"/>
    <w:rsid w:val="007E1971"/>
    <w:rsid w:val="007E1CE9"/>
    <w:rsid w:val="007E3753"/>
    <w:rsid w:val="007E4526"/>
    <w:rsid w:val="007E46B1"/>
    <w:rsid w:val="007E6131"/>
    <w:rsid w:val="007E658F"/>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9DC"/>
    <w:rsid w:val="00804BC6"/>
    <w:rsid w:val="00805BB3"/>
    <w:rsid w:val="00806492"/>
    <w:rsid w:val="00807036"/>
    <w:rsid w:val="008075A7"/>
    <w:rsid w:val="00807BB9"/>
    <w:rsid w:val="00807BDA"/>
    <w:rsid w:val="00811685"/>
    <w:rsid w:val="00811CDC"/>
    <w:rsid w:val="00812005"/>
    <w:rsid w:val="008122F7"/>
    <w:rsid w:val="00812754"/>
    <w:rsid w:val="00816723"/>
    <w:rsid w:val="008206F4"/>
    <w:rsid w:val="00821C15"/>
    <w:rsid w:val="008230F0"/>
    <w:rsid w:val="00823AA8"/>
    <w:rsid w:val="00824659"/>
    <w:rsid w:val="00825368"/>
    <w:rsid w:val="008268FE"/>
    <w:rsid w:val="00830357"/>
    <w:rsid w:val="00831769"/>
    <w:rsid w:val="00831C76"/>
    <w:rsid w:val="00831F89"/>
    <w:rsid w:val="008321F9"/>
    <w:rsid w:val="0083346E"/>
    <w:rsid w:val="00833D42"/>
    <w:rsid w:val="008344EF"/>
    <w:rsid w:val="0083523E"/>
    <w:rsid w:val="008369A7"/>
    <w:rsid w:val="00836A46"/>
    <w:rsid w:val="008415D9"/>
    <w:rsid w:val="008419A2"/>
    <w:rsid w:val="00841CD9"/>
    <w:rsid w:val="00842CE5"/>
    <w:rsid w:val="0084424F"/>
    <w:rsid w:val="00844EAD"/>
    <w:rsid w:val="00845F66"/>
    <w:rsid w:val="0084609F"/>
    <w:rsid w:val="008475D3"/>
    <w:rsid w:val="00850A99"/>
    <w:rsid w:val="00850E0E"/>
    <w:rsid w:val="00851A74"/>
    <w:rsid w:val="008530C4"/>
    <w:rsid w:val="00853385"/>
    <w:rsid w:val="008533B1"/>
    <w:rsid w:val="00853B27"/>
    <w:rsid w:val="008556D7"/>
    <w:rsid w:val="0085619E"/>
    <w:rsid w:val="00861D7D"/>
    <w:rsid w:val="00861F1A"/>
    <w:rsid w:val="008620EC"/>
    <w:rsid w:val="00862CC3"/>
    <w:rsid w:val="008631D6"/>
    <w:rsid w:val="00864189"/>
    <w:rsid w:val="00864468"/>
    <w:rsid w:val="0086464C"/>
    <w:rsid w:val="00866B8F"/>
    <w:rsid w:val="00866D70"/>
    <w:rsid w:val="00867A12"/>
    <w:rsid w:val="00871996"/>
    <w:rsid w:val="00872945"/>
    <w:rsid w:val="00872C61"/>
    <w:rsid w:val="00873153"/>
    <w:rsid w:val="00873603"/>
    <w:rsid w:val="00873C0A"/>
    <w:rsid w:val="00873E2E"/>
    <w:rsid w:val="0087550C"/>
    <w:rsid w:val="00877AF9"/>
    <w:rsid w:val="00877C09"/>
    <w:rsid w:val="008808C5"/>
    <w:rsid w:val="00880BC2"/>
    <w:rsid w:val="00880D38"/>
    <w:rsid w:val="008815A5"/>
    <w:rsid w:val="008818C9"/>
    <w:rsid w:val="0088279C"/>
    <w:rsid w:val="00884623"/>
    <w:rsid w:val="00884C37"/>
    <w:rsid w:val="00890E8F"/>
    <w:rsid w:val="00891091"/>
    <w:rsid w:val="00891604"/>
    <w:rsid w:val="00891A8D"/>
    <w:rsid w:val="008923E8"/>
    <w:rsid w:val="008923EE"/>
    <w:rsid w:val="008927A4"/>
    <w:rsid w:val="0089285F"/>
    <w:rsid w:val="00892AE4"/>
    <w:rsid w:val="00893D10"/>
    <w:rsid w:val="00894C2D"/>
    <w:rsid w:val="008964B6"/>
    <w:rsid w:val="008964D6"/>
    <w:rsid w:val="00896D19"/>
    <w:rsid w:val="00897505"/>
    <w:rsid w:val="00897B3B"/>
    <w:rsid w:val="008A16BF"/>
    <w:rsid w:val="008A1835"/>
    <w:rsid w:val="008A2170"/>
    <w:rsid w:val="008A495C"/>
    <w:rsid w:val="008A4E94"/>
    <w:rsid w:val="008A4EB9"/>
    <w:rsid w:val="008A58CB"/>
    <w:rsid w:val="008A6BE4"/>
    <w:rsid w:val="008A7AB3"/>
    <w:rsid w:val="008A7D10"/>
    <w:rsid w:val="008B0025"/>
    <w:rsid w:val="008B069A"/>
    <w:rsid w:val="008B2D47"/>
    <w:rsid w:val="008B3EE8"/>
    <w:rsid w:val="008B45C7"/>
    <w:rsid w:val="008B46E2"/>
    <w:rsid w:val="008B59B5"/>
    <w:rsid w:val="008B644C"/>
    <w:rsid w:val="008B6799"/>
    <w:rsid w:val="008B75C8"/>
    <w:rsid w:val="008C0635"/>
    <w:rsid w:val="008C3356"/>
    <w:rsid w:val="008C422A"/>
    <w:rsid w:val="008C446C"/>
    <w:rsid w:val="008C4DE5"/>
    <w:rsid w:val="008C5086"/>
    <w:rsid w:val="008C51C3"/>
    <w:rsid w:val="008C5A25"/>
    <w:rsid w:val="008C5BEE"/>
    <w:rsid w:val="008C6CA1"/>
    <w:rsid w:val="008D2924"/>
    <w:rsid w:val="008D2A29"/>
    <w:rsid w:val="008D2DFB"/>
    <w:rsid w:val="008D3E9E"/>
    <w:rsid w:val="008D706A"/>
    <w:rsid w:val="008E04E0"/>
    <w:rsid w:val="008E0CDD"/>
    <w:rsid w:val="008E1265"/>
    <w:rsid w:val="008E2191"/>
    <w:rsid w:val="008E27E0"/>
    <w:rsid w:val="008E33C1"/>
    <w:rsid w:val="008E3B56"/>
    <w:rsid w:val="008E4A26"/>
    <w:rsid w:val="008E4FCC"/>
    <w:rsid w:val="008E6B9F"/>
    <w:rsid w:val="008E6BEC"/>
    <w:rsid w:val="008F0DCD"/>
    <w:rsid w:val="008F1199"/>
    <w:rsid w:val="008F18A3"/>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18D"/>
    <w:rsid w:val="0091668C"/>
    <w:rsid w:val="009169B8"/>
    <w:rsid w:val="00917303"/>
    <w:rsid w:val="009175C8"/>
    <w:rsid w:val="00917F45"/>
    <w:rsid w:val="0092064F"/>
    <w:rsid w:val="0092132D"/>
    <w:rsid w:val="00923FE2"/>
    <w:rsid w:val="00924214"/>
    <w:rsid w:val="00924280"/>
    <w:rsid w:val="0092536C"/>
    <w:rsid w:val="00925615"/>
    <w:rsid w:val="009257DF"/>
    <w:rsid w:val="00927ACD"/>
    <w:rsid w:val="009318F5"/>
    <w:rsid w:val="009352EF"/>
    <w:rsid w:val="009362AE"/>
    <w:rsid w:val="009368FC"/>
    <w:rsid w:val="00940C63"/>
    <w:rsid w:val="00941458"/>
    <w:rsid w:val="00942977"/>
    <w:rsid w:val="00942E7A"/>
    <w:rsid w:val="00943341"/>
    <w:rsid w:val="00943363"/>
    <w:rsid w:val="0094375A"/>
    <w:rsid w:val="00944949"/>
    <w:rsid w:val="00945AF4"/>
    <w:rsid w:val="00946041"/>
    <w:rsid w:val="009463E0"/>
    <w:rsid w:val="00946973"/>
    <w:rsid w:val="009502F0"/>
    <w:rsid w:val="00950660"/>
    <w:rsid w:val="00951CD1"/>
    <w:rsid w:val="00953637"/>
    <w:rsid w:val="00954E72"/>
    <w:rsid w:val="00955E54"/>
    <w:rsid w:val="00956142"/>
    <w:rsid w:val="00957318"/>
    <w:rsid w:val="0095779D"/>
    <w:rsid w:val="0096122A"/>
    <w:rsid w:val="00962155"/>
    <w:rsid w:val="00962B6B"/>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EDD"/>
    <w:rsid w:val="00996ECC"/>
    <w:rsid w:val="00997121"/>
    <w:rsid w:val="009972F4"/>
    <w:rsid w:val="0099766A"/>
    <w:rsid w:val="00997B40"/>
    <w:rsid w:val="00997C2D"/>
    <w:rsid w:val="00997C41"/>
    <w:rsid w:val="009A36B5"/>
    <w:rsid w:val="009A4D40"/>
    <w:rsid w:val="009A4FFA"/>
    <w:rsid w:val="009A661A"/>
    <w:rsid w:val="009A7DF6"/>
    <w:rsid w:val="009B0909"/>
    <w:rsid w:val="009B1929"/>
    <w:rsid w:val="009B19F1"/>
    <w:rsid w:val="009B1C54"/>
    <w:rsid w:val="009B40F7"/>
    <w:rsid w:val="009B5CF4"/>
    <w:rsid w:val="009B6B19"/>
    <w:rsid w:val="009C0316"/>
    <w:rsid w:val="009C1E1D"/>
    <w:rsid w:val="009C282A"/>
    <w:rsid w:val="009C4005"/>
    <w:rsid w:val="009C4F69"/>
    <w:rsid w:val="009C5C5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E5D14"/>
    <w:rsid w:val="009F110A"/>
    <w:rsid w:val="009F151D"/>
    <w:rsid w:val="009F1F01"/>
    <w:rsid w:val="009F320F"/>
    <w:rsid w:val="009F371F"/>
    <w:rsid w:val="009F5327"/>
    <w:rsid w:val="009F56DA"/>
    <w:rsid w:val="009F5955"/>
    <w:rsid w:val="009F6329"/>
    <w:rsid w:val="009F7543"/>
    <w:rsid w:val="00A00528"/>
    <w:rsid w:val="00A01141"/>
    <w:rsid w:val="00A01615"/>
    <w:rsid w:val="00A02B09"/>
    <w:rsid w:val="00A0447C"/>
    <w:rsid w:val="00A04E87"/>
    <w:rsid w:val="00A0583E"/>
    <w:rsid w:val="00A05DF0"/>
    <w:rsid w:val="00A05FF7"/>
    <w:rsid w:val="00A07EF6"/>
    <w:rsid w:val="00A11631"/>
    <w:rsid w:val="00A1549F"/>
    <w:rsid w:val="00A1626F"/>
    <w:rsid w:val="00A16970"/>
    <w:rsid w:val="00A16D4B"/>
    <w:rsid w:val="00A16DF0"/>
    <w:rsid w:val="00A17277"/>
    <w:rsid w:val="00A201FA"/>
    <w:rsid w:val="00A20C90"/>
    <w:rsid w:val="00A234F8"/>
    <w:rsid w:val="00A23F15"/>
    <w:rsid w:val="00A242F3"/>
    <w:rsid w:val="00A24B52"/>
    <w:rsid w:val="00A24B8B"/>
    <w:rsid w:val="00A25558"/>
    <w:rsid w:val="00A26016"/>
    <w:rsid w:val="00A26D8E"/>
    <w:rsid w:val="00A26DF2"/>
    <w:rsid w:val="00A27A0C"/>
    <w:rsid w:val="00A307C4"/>
    <w:rsid w:val="00A31B19"/>
    <w:rsid w:val="00A3760A"/>
    <w:rsid w:val="00A415B6"/>
    <w:rsid w:val="00A450EE"/>
    <w:rsid w:val="00A45459"/>
    <w:rsid w:val="00A45C29"/>
    <w:rsid w:val="00A45C80"/>
    <w:rsid w:val="00A4633B"/>
    <w:rsid w:val="00A4783D"/>
    <w:rsid w:val="00A5125D"/>
    <w:rsid w:val="00A518A4"/>
    <w:rsid w:val="00A52893"/>
    <w:rsid w:val="00A52B18"/>
    <w:rsid w:val="00A53438"/>
    <w:rsid w:val="00A54F44"/>
    <w:rsid w:val="00A563E3"/>
    <w:rsid w:val="00A5646E"/>
    <w:rsid w:val="00A57C76"/>
    <w:rsid w:val="00A57CE0"/>
    <w:rsid w:val="00A61077"/>
    <w:rsid w:val="00A61E44"/>
    <w:rsid w:val="00A657C7"/>
    <w:rsid w:val="00A73289"/>
    <w:rsid w:val="00A735DF"/>
    <w:rsid w:val="00A74DE6"/>
    <w:rsid w:val="00A75E73"/>
    <w:rsid w:val="00A76AA4"/>
    <w:rsid w:val="00A774B2"/>
    <w:rsid w:val="00A77F00"/>
    <w:rsid w:val="00A80DE2"/>
    <w:rsid w:val="00A8218B"/>
    <w:rsid w:val="00A82468"/>
    <w:rsid w:val="00A82539"/>
    <w:rsid w:val="00A83E0D"/>
    <w:rsid w:val="00A845DC"/>
    <w:rsid w:val="00A8526F"/>
    <w:rsid w:val="00A854D1"/>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7F"/>
    <w:rsid w:val="00AA4C9C"/>
    <w:rsid w:val="00AA5AE5"/>
    <w:rsid w:val="00AA5B34"/>
    <w:rsid w:val="00AA5B86"/>
    <w:rsid w:val="00AA5D3F"/>
    <w:rsid w:val="00AA5DA2"/>
    <w:rsid w:val="00AA6562"/>
    <w:rsid w:val="00AA68EC"/>
    <w:rsid w:val="00AA6B5C"/>
    <w:rsid w:val="00AA798E"/>
    <w:rsid w:val="00AA7E35"/>
    <w:rsid w:val="00AB3581"/>
    <w:rsid w:val="00AB4C9D"/>
    <w:rsid w:val="00AB5520"/>
    <w:rsid w:val="00AB5EA0"/>
    <w:rsid w:val="00AB77D7"/>
    <w:rsid w:val="00AB7C79"/>
    <w:rsid w:val="00AB7F68"/>
    <w:rsid w:val="00AC215C"/>
    <w:rsid w:val="00AC384B"/>
    <w:rsid w:val="00AC491E"/>
    <w:rsid w:val="00AC591F"/>
    <w:rsid w:val="00AC7F1A"/>
    <w:rsid w:val="00AC7FBC"/>
    <w:rsid w:val="00AD179E"/>
    <w:rsid w:val="00AD1FFA"/>
    <w:rsid w:val="00AD37B7"/>
    <w:rsid w:val="00AD411B"/>
    <w:rsid w:val="00AD4AC4"/>
    <w:rsid w:val="00AD5A8B"/>
    <w:rsid w:val="00AD6D51"/>
    <w:rsid w:val="00AD6E30"/>
    <w:rsid w:val="00AD758A"/>
    <w:rsid w:val="00AD7E4C"/>
    <w:rsid w:val="00AE00D9"/>
    <w:rsid w:val="00AE0417"/>
    <w:rsid w:val="00AE0D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88D"/>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836"/>
    <w:rsid w:val="00B13924"/>
    <w:rsid w:val="00B13C8B"/>
    <w:rsid w:val="00B1454B"/>
    <w:rsid w:val="00B147E9"/>
    <w:rsid w:val="00B1522B"/>
    <w:rsid w:val="00B17E7A"/>
    <w:rsid w:val="00B205A1"/>
    <w:rsid w:val="00B2070D"/>
    <w:rsid w:val="00B20A32"/>
    <w:rsid w:val="00B2115C"/>
    <w:rsid w:val="00B211AD"/>
    <w:rsid w:val="00B21244"/>
    <w:rsid w:val="00B21EE5"/>
    <w:rsid w:val="00B231EA"/>
    <w:rsid w:val="00B2320A"/>
    <w:rsid w:val="00B24BBE"/>
    <w:rsid w:val="00B2625C"/>
    <w:rsid w:val="00B26D41"/>
    <w:rsid w:val="00B27B6A"/>
    <w:rsid w:val="00B31690"/>
    <w:rsid w:val="00B32567"/>
    <w:rsid w:val="00B33A02"/>
    <w:rsid w:val="00B346E7"/>
    <w:rsid w:val="00B349F6"/>
    <w:rsid w:val="00B34BD2"/>
    <w:rsid w:val="00B351AE"/>
    <w:rsid w:val="00B35597"/>
    <w:rsid w:val="00B36996"/>
    <w:rsid w:val="00B36E03"/>
    <w:rsid w:val="00B37D50"/>
    <w:rsid w:val="00B4001E"/>
    <w:rsid w:val="00B40197"/>
    <w:rsid w:val="00B4065D"/>
    <w:rsid w:val="00B40980"/>
    <w:rsid w:val="00B4111B"/>
    <w:rsid w:val="00B412DE"/>
    <w:rsid w:val="00B415A8"/>
    <w:rsid w:val="00B42321"/>
    <w:rsid w:val="00B424CE"/>
    <w:rsid w:val="00B443D5"/>
    <w:rsid w:val="00B4495F"/>
    <w:rsid w:val="00B45124"/>
    <w:rsid w:val="00B45ED9"/>
    <w:rsid w:val="00B466C6"/>
    <w:rsid w:val="00B46E53"/>
    <w:rsid w:val="00B47643"/>
    <w:rsid w:val="00B500E8"/>
    <w:rsid w:val="00B50510"/>
    <w:rsid w:val="00B5206A"/>
    <w:rsid w:val="00B5221A"/>
    <w:rsid w:val="00B54D83"/>
    <w:rsid w:val="00B55ACC"/>
    <w:rsid w:val="00B55F46"/>
    <w:rsid w:val="00B5613C"/>
    <w:rsid w:val="00B56CD9"/>
    <w:rsid w:val="00B574A4"/>
    <w:rsid w:val="00B600B1"/>
    <w:rsid w:val="00B61BFF"/>
    <w:rsid w:val="00B6217B"/>
    <w:rsid w:val="00B640CF"/>
    <w:rsid w:val="00B67883"/>
    <w:rsid w:val="00B707A7"/>
    <w:rsid w:val="00B72D75"/>
    <w:rsid w:val="00B72DF0"/>
    <w:rsid w:val="00B740D5"/>
    <w:rsid w:val="00B74EAB"/>
    <w:rsid w:val="00B75040"/>
    <w:rsid w:val="00B75A23"/>
    <w:rsid w:val="00B76DFF"/>
    <w:rsid w:val="00B77286"/>
    <w:rsid w:val="00B77606"/>
    <w:rsid w:val="00B77845"/>
    <w:rsid w:val="00B8023E"/>
    <w:rsid w:val="00B82E90"/>
    <w:rsid w:val="00B87EFA"/>
    <w:rsid w:val="00B92C4B"/>
    <w:rsid w:val="00B93D36"/>
    <w:rsid w:val="00B94A25"/>
    <w:rsid w:val="00B95591"/>
    <w:rsid w:val="00B95A79"/>
    <w:rsid w:val="00B95E05"/>
    <w:rsid w:val="00B97109"/>
    <w:rsid w:val="00BA02FD"/>
    <w:rsid w:val="00BA0B20"/>
    <w:rsid w:val="00BA2380"/>
    <w:rsid w:val="00BA250E"/>
    <w:rsid w:val="00BA33A6"/>
    <w:rsid w:val="00BA52D2"/>
    <w:rsid w:val="00BB2868"/>
    <w:rsid w:val="00BB2BB8"/>
    <w:rsid w:val="00BB406C"/>
    <w:rsid w:val="00BB7706"/>
    <w:rsid w:val="00BC01AE"/>
    <w:rsid w:val="00BC109C"/>
    <w:rsid w:val="00BC1BF0"/>
    <w:rsid w:val="00BC1CA7"/>
    <w:rsid w:val="00BC30F0"/>
    <w:rsid w:val="00BC3C4D"/>
    <w:rsid w:val="00BC421F"/>
    <w:rsid w:val="00BC48E2"/>
    <w:rsid w:val="00BC48EB"/>
    <w:rsid w:val="00BC70FB"/>
    <w:rsid w:val="00BD29FC"/>
    <w:rsid w:val="00BD3793"/>
    <w:rsid w:val="00BD3A77"/>
    <w:rsid w:val="00BD3F59"/>
    <w:rsid w:val="00BD4B1B"/>
    <w:rsid w:val="00BD53A9"/>
    <w:rsid w:val="00BD6F67"/>
    <w:rsid w:val="00BD7117"/>
    <w:rsid w:val="00BD74A9"/>
    <w:rsid w:val="00BD783A"/>
    <w:rsid w:val="00BE0F36"/>
    <w:rsid w:val="00BE10B4"/>
    <w:rsid w:val="00BE11CD"/>
    <w:rsid w:val="00BE1B0B"/>
    <w:rsid w:val="00BE1EC4"/>
    <w:rsid w:val="00BE4C8F"/>
    <w:rsid w:val="00BE5B75"/>
    <w:rsid w:val="00BE5CC3"/>
    <w:rsid w:val="00BE5E1B"/>
    <w:rsid w:val="00BE6205"/>
    <w:rsid w:val="00BE6BB8"/>
    <w:rsid w:val="00BE7AB5"/>
    <w:rsid w:val="00BE7CC7"/>
    <w:rsid w:val="00BF0B98"/>
    <w:rsid w:val="00BF167D"/>
    <w:rsid w:val="00BF23F5"/>
    <w:rsid w:val="00BF438D"/>
    <w:rsid w:val="00BF488C"/>
    <w:rsid w:val="00BF4C79"/>
    <w:rsid w:val="00BF4F03"/>
    <w:rsid w:val="00BF545F"/>
    <w:rsid w:val="00BF550E"/>
    <w:rsid w:val="00BF55AA"/>
    <w:rsid w:val="00BF57BA"/>
    <w:rsid w:val="00BF5A6C"/>
    <w:rsid w:val="00BF66C6"/>
    <w:rsid w:val="00BF721B"/>
    <w:rsid w:val="00BF7226"/>
    <w:rsid w:val="00C0205C"/>
    <w:rsid w:val="00C023E8"/>
    <w:rsid w:val="00C03705"/>
    <w:rsid w:val="00C03C52"/>
    <w:rsid w:val="00C04053"/>
    <w:rsid w:val="00C04A6C"/>
    <w:rsid w:val="00C05381"/>
    <w:rsid w:val="00C05511"/>
    <w:rsid w:val="00C06550"/>
    <w:rsid w:val="00C10525"/>
    <w:rsid w:val="00C114ED"/>
    <w:rsid w:val="00C1296B"/>
    <w:rsid w:val="00C150D0"/>
    <w:rsid w:val="00C21ED8"/>
    <w:rsid w:val="00C23B75"/>
    <w:rsid w:val="00C23F48"/>
    <w:rsid w:val="00C240C4"/>
    <w:rsid w:val="00C2446A"/>
    <w:rsid w:val="00C248AB"/>
    <w:rsid w:val="00C25330"/>
    <w:rsid w:val="00C254BC"/>
    <w:rsid w:val="00C26631"/>
    <w:rsid w:val="00C26BA2"/>
    <w:rsid w:val="00C27E0C"/>
    <w:rsid w:val="00C31501"/>
    <w:rsid w:val="00C32840"/>
    <w:rsid w:val="00C32B4B"/>
    <w:rsid w:val="00C351F0"/>
    <w:rsid w:val="00C35278"/>
    <w:rsid w:val="00C35DF9"/>
    <w:rsid w:val="00C36051"/>
    <w:rsid w:val="00C3774E"/>
    <w:rsid w:val="00C37B78"/>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2D8"/>
    <w:rsid w:val="00C537E5"/>
    <w:rsid w:val="00C53F68"/>
    <w:rsid w:val="00C54E5F"/>
    <w:rsid w:val="00C55751"/>
    <w:rsid w:val="00C55C86"/>
    <w:rsid w:val="00C560B0"/>
    <w:rsid w:val="00C56357"/>
    <w:rsid w:val="00C564D1"/>
    <w:rsid w:val="00C568F6"/>
    <w:rsid w:val="00C5758E"/>
    <w:rsid w:val="00C6150A"/>
    <w:rsid w:val="00C61A49"/>
    <w:rsid w:val="00C62256"/>
    <w:rsid w:val="00C6255F"/>
    <w:rsid w:val="00C62999"/>
    <w:rsid w:val="00C636DE"/>
    <w:rsid w:val="00C66707"/>
    <w:rsid w:val="00C67EE6"/>
    <w:rsid w:val="00C70676"/>
    <w:rsid w:val="00C707E4"/>
    <w:rsid w:val="00C70FFF"/>
    <w:rsid w:val="00C72976"/>
    <w:rsid w:val="00C72C16"/>
    <w:rsid w:val="00C73747"/>
    <w:rsid w:val="00C73856"/>
    <w:rsid w:val="00C742FB"/>
    <w:rsid w:val="00C745F6"/>
    <w:rsid w:val="00C74D25"/>
    <w:rsid w:val="00C74DF1"/>
    <w:rsid w:val="00C8048E"/>
    <w:rsid w:val="00C8071B"/>
    <w:rsid w:val="00C80B2A"/>
    <w:rsid w:val="00C80E1C"/>
    <w:rsid w:val="00C8182F"/>
    <w:rsid w:val="00C81B6E"/>
    <w:rsid w:val="00C82021"/>
    <w:rsid w:val="00C82B8F"/>
    <w:rsid w:val="00C841E0"/>
    <w:rsid w:val="00C84FF8"/>
    <w:rsid w:val="00C853DD"/>
    <w:rsid w:val="00C85BDC"/>
    <w:rsid w:val="00C8642F"/>
    <w:rsid w:val="00C87440"/>
    <w:rsid w:val="00C87694"/>
    <w:rsid w:val="00C87E68"/>
    <w:rsid w:val="00C87EC0"/>
    <w:rsid w:val="00C9106F"/>
    <w:rsid w:val="00C91B38"/>
    <w:rsid w:val="00C928EE"/>
    <w:rsid w:val="00C932E8"/>
    <w:rsid w:val="00C93D08"/>
    <w:rsid w:val="00C93DF5"/>
    <w:rsid w:val="00C940AD"/>
    <w:rsid w:val="00C963DF"/>
    <w:rsid w:val="00C969BD"/>
    <w:rsid w:val="00CA004B"/>
    <w:rsid w:val="00CA162D"/>
    <w:rsid w:val="00CA17F3"/>
    <w:rsid w:val="00CA3450"/>
    <w:rsid w:val="00CA3F20"/>
    <w:rsid w:val="00CA41AA"/>
    <w:rsid w:val="00CA4A04"/>
    <w:rsid w:val="00CA5234"/>
    <w:rsid w:val="00CA539A"/>
    <w:rsid w:val="00CA5624"/>
    <w:rsid w:val="00CA67C7"/>
    <w:rsid w:val="00CA6B34"/>
    <w:rsid w:val="00CB122F"/>
    <w:rsid w:val="00CB1995"/>
    <w:rsid w:val="00CB37B0"/>
    <w:rsid w:val="00CB3943"/>
    <w:rsid w:val="00CB4333"/>
    <w:rsid w:val="00CB59E1"/>
    <w:rsid w:val="00CB6708"/>
    <w:rsid w:val="00CB68FC"/>
    <w:rsid w:val="00CB6C65"/>
    <w:rsid w:val="00CB7E28"/>
    <w:rsid w:val="00CC1584"/>
    <w:rsid w:val="00CC1DFA"/>
    <w:rsid w:val="00CC2016"/>
    <w:rsid w:val="00CC3045"/>
    <w:rsid w:val="00CC3760"/>
    <w:rsid w:val="00CC40FB"/>
    <w:rsid w:val="00CC49A2"/>
    <w:rsid w:val="00CC4AEC"/>
    <w:rsid w:val="00CC4D82"/>
    <w:rsid w:val="00CC5D74"/>
    <w:rsid w:val="00CC66D9"/>
    <w:rsid w:val="00CC75DE"/>
    <w:rsid w:val="00CD0279"/>
    <w:rsid w:val="00CD08BD"/>
    <w:rsid w:val="00CD12F4"/>
    <w:rsid w:val="00CD3C40"/>
    <w:rsid w:val="00CD40F1"/>
    <w:rsid w:val="00CD4B93"/>
    <w:rsid w:val="00CD6150"/>
    <w:rsid w:val="00CD68BF"/>
    <w:rsid w:val="00CD78CD"/>
    <w:rsid w:val="00CE0752"/>
    <w:rsid w:val="00CE14CF"/>
    <w:rsid w:val="00CE22F3"/>
    <w:rsid w:val="00CE26EA"/>
    <w:rsid w:val="00CE345A"/>
    <w:rsid w:val="00CE58E3"/>
    <w:rsid w:val="00CE597B"/>
    <w:rsid w:val="00CE64CC"/>
    <w:rsid w:val="00CE70BC"/>
    <w:rsid w:val="00CE71B2"/>
    <w:rsid w:val="00CE7A87"/>
    <w:rsid w:val="00CF1533"/>
    <w:rsid w:val="00CF2E58"/>
    <w:rsid w:val="00CF34BA"/>
    <w:rsid w:val="00CF3B36"/>
    <w:rsid w:val="00CF3E1A"/>
    <w:rsid w:val="00CF4147"/>
    <w:rsid w:val="00CF59D6"/>
    <w:rsid w:val="00CF6A0A"/>
    <w:rsid w:val="00CF6D6C"/>
    <w:rsid w:val="00D0059F"/>
    <w:rsid w:val="00D00BA5"/>
    <w:rsid w:val="00D00DE4"/>
    <w:rsid w:val="00D01AEE"/>
    <w:rsid w:val="00D03B4D"/>
    <w:rsid w:val="00D041F0"/>
    <w:rsid w:val="00D05242"/>
    <w:rsid w:val="00D05F82"/>
    <w:rsid w:val="00D05FB9"/>
    <w:rsid w:val="00D06457"/>
    <w:rsid w:val="00D0757A"/>
    <w:rsid w:val="00D075FD"/>
    <w:rsid w:val="00D1168C"/>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7FBA"/>
    <w:rsid w:val="00D4032D"/>
    <w:rsid w:val="00D4172C"/>
    <w:rsid w:val="00D42D2E"/>
    <w:rsid w:val="00D42D92"/>
    <w:rsid w:val="00D434D2"/>
    <w:rsid w:val="00D437E7"/>
    <w:rsid w:val="00D43C01"/>
    <w:rsid w:val="00D44F34"/>
    <w:rsid w:val="00D455F3"/>
    <w:rsid w:val="00D46C0D"/>
    <w:rsid w:val="00D47BDC"/>
    <w:rsid w:val="00D50225"/>
    <w:rsid w:val="00D50558"/>
    <w:rsid w:val="00D50A2F"/>
    <w:rsid w:val="00D51773"/>
    <w:rsid w:val="00D51C21"/>
    <w:rsid w:val="00D52080"/>
    <w:rsid w:val="00D5331E"/>
    <w:rsid w:val="00D537E7"/>
    <w:rsid w:val="00D54249"/>
    <w:rsid w:val="00D56C0F"/>
    <w:rsid w:val="00D56C79"/>
    <w:rsid w:val="00D57819"/>
    <w:rsid w:val="00D6013A"/>
    <w:rsid w:val="00D60314"/>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1274"/>
    <w:rsid w:val="00D8486E"/>
    <w:rsid w:val="00D84C64"/>
    <w:rsid w:val="00D851BA"/>
    <w:rsid w:val="00D8564C"/>
    <w:rsid w:val="00D876F3"/>
    <w:rsid w:val="00D90826"/>
    <w:rsid w:val="00D9120D"/>
    <w:rsid w:val="00D92AA4"/>
    <w:rsid w:val="00D92BEA"/>
    <w:rsid w:val="00D92F7C"/>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2052"/>
    <w:rsid w:val="00DA32DB"/>
    <w:rsid w:val="00DA3F93"/>
    <w:rsid w:val="00DA435A"/>
    <w:rsid w:val="00DA5C3C"/>
    <w:rsid w:val="00DA6DC7"/>
    <w:rsid w:val="00DB05E2"/>
    <w:rsid w:val="00DB1C17"/>
    <w:rsid w:val="00DB27AE"/>
    <w:rsid w:val="00DB367C"/>
    <w:rsid w:val="00DB459A"/>
    <w:rsid w:val="00DB4992"/>
    <w:rsid w:val="00DB56B1"/>
    <w:rsid w:val="00DB5E30"/>
    <w:rsid w:val="00DC037C"/>
    <w:rsid w:val="00DC1AF3"/>
    <w:rsid w:val="00DC1F40"/>
    <w:rsid w:val="00DC239D"/>
    <w:rsid w:val="00DC6235"/>
    <w:rsid w:val="00DC7686"/>
    <w:rsid w:val="00DC7B31"/>
    <w:rsid w:val="00DD03E7"/>
    <w:rsid w:val="00DD1389"/>
    <w:rsid w:val="00DD3021"/>
    <w:rsid w:val="00DD368B"/>
    <w:rsid w:val="00DD503F"/>
    <w:rsid w:val="00DD5062"/>
    <w:rsid w:val="00DD6279"/>
    <w:rsid w:val="00DD62DD"/>
    <w:rsid w:val="00DD73CC"/>
    <w:rsid w:val="00DD7407"/>
    <w:rsid w:val="00DE0934"/>
    <w:rsid w:val="00DE16B2"/>
    <w:rsid w:val="00DE2B79"/>
    <w:rsid w:val="00DE3805"/>
    <w:rsid w:val="00DE5FB8"/>
    <w:rsid w:val="00DF0535"/>
    <w:rsid w:val="00DF0FAA"/>
    <w:rsid w:val="00DF1DFE"/>
    <w:rsid w:val="00DF2100"/>
    <w:rsid w:val="00DF436E"/>
    <w:rsid w:val="00DF546B"/>
    <w:rsid w:val="00DF582C"/>
    <w:rsid w:val="00DF58C5"/>
    <w:rsid w:val="00DF5A67"/>
    <w:rsid w:val="00DF6924"/>
    <w:rsid w:val="00DF740D"/>
    <w:rsid w:val="00E00765"/>
    <w:rsid w:val="00E00B52"/>
    <w:rsid w:val="00E023EA"/>
    <w:rsid w:val="00E02A8A"/>
    <w:rsid w:val="00E04BC3"/>
    <w:rsid w:val="00E04CBF"/>
    <w:rsid w:val="00E05A7F"/>
    <w:rsid w:val="00E06BA3"/>
    <w:rsid w:val="00E07BFC"/>
    <w:rsid w:val="00E07EC4"/>
    <w:rsid w:val="00E12084"/>
    <w:rsid w:val="00E127AB"/>
    <w:rsid w:val="00E12BE8"/>
    <w:rsid w:val="00E13CC9"/>
    <w:rsid w:val="00E13D43"/>
    <w:rsid w:val="00E14719"/>
    <w:rsid w:val="00E14E16"/>
    <w:rsid w:val="00E151D9"/>
    <w:rsid w:val="00E16D81"/>
    <w:rsid w:val="00E17F03"/>
    <w:rsid w:val="00E20837"/>
    <w:rsid w:val="00E21D7E"/>
    <w:rsid w:val="00E22F3B"/>
    <w:rsid w:val="00E231E1"/>
    <w:rsid w:val="00E236A1"/>
    <w:rsid w:val="00E240A4"/>
    <w:rsid w:val="00E24599"/>
    <w:rsid w:val="00E2464D"/>
    <w:rsid w:val="00E249A1"/>
    <w:rsid w:val="00E275F5"/>
    <w:rsid w:val="00E303E2"/>
    <w:rsid w:val="00E30E9D"/>
    <w:rsid w:val="00E33368"/>
    <w:rsid w:val="00E3340A"/>
    <w:rsid w:val="00E33D59"/>
    <w:rsid w:val="00E34229"/>
    <w:rsid w:val="00E37598"/>
    <w:rsid w:val="00E377C5"/>
    <w:rsid w:val="00E41086"/>
    <w:rsid w:val="00E42529"/>
    <w:rsid w:val="00E4334F"/>
    <w:rsid w:val="00E43E78"/>
    <w:rsid w:val="00E44121"/>
    <w:rsid w:val="00E447DE"/>
    <w:rsid w:val="00E459BD"/>
    <w:rsid w:val="00E46A58"/>
    <w:rsid w:val="00E47992"/>
    <w:rsid w:val="00E47E70"/>
    <w:rsid w:val="00E5074A"/>
    <w:rsid w:val="00E5140A"/>
    <w:rsid w:val="00E51D44"/>
    <w:rsid w:val="00E52F23"/>
    <w:rsid w:val="00E53A8B"/>
    <w:rsid w:val="00E54F4E"/>
    <w:rsid w:val="00E5558A"/>
    <w:rsid w:val="00E5565E"/>
    <w:rsid w:val="00E573CB"/>
    <w:rsid w:val="00E575B1"/>
    <w:rsid w:val="00E577F0"/>
    <w:rsid w:val="00E57A76"/>
    <w:rsid w:val="00E60F92"/>
    <w:rsid w:val="00E634D1"/>
    <w:rsid w:val="00E64234"/>
    <w:rsid w:val="00E6524D"/>
    <w:rsid w:val="00E6525F"/>
    <w:rsid w:val="00E65395"/>
    <w:rsid w:val="00E66586"/>
    <w:rsid w:val="00E66C0F"/>
    <w:rsid w:val="00E721FF"/>
    <w:rsid w:val="00E74570"/>
    <w:rsid w:val="00E75E0A"/>
    <w:rsid w:val="00E75EFC"/>
    <w:rsid w:val="00E772C7"/>
    <w:rsid w:val="00E77432"/>
    <w:rsid w:val="00E77B1C"/>
    <w:rsid w:val="00E77FFB"/>
    <w:rsid w:val="00E8020D"/>
    <w:rsid w:val="00E80D19"/>
    <w:rsid w:val="00E81FE6"/>
    <w:rsid w:val="00E824AC"/>
    <w:rsid w:val="00E84024"/>
    <w:rsid w:val="00E84919"/>
    <w:rsid w:val="00E84FD6"/>
    <w:rsid w:val="00E85648"/>
    <w:rsid w:val="00E86BE3"/>
    <w:rsid w:val="00E90CC9"/>
    <w:rsid w:val="00E91E22"/>
    <w:rsid w:val="00E9252C"/>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4DAA"/>
    <w:rsid w:val="00EA4DF6"/>
    <w:rsid w:val="00EA5C3B"/>
    <w:rsid w:val="00EA6035"/>
    <w:rsid w:val="00EA6C69"/>
    <w:rsid w:val="00EB0ABA"/>
    <w:rsid w:val="00EB10BE"/>
    <w:rsid w:val="00EB250B"/>
    <w:rsid w:val="00EB2EAD"/>
    <w:rsid w:val="00EB2F69"/>
    <w:rsid w:val="00EB3094"/>
    <w:rsid w:val="00EB3138"/>
    <w:rsid w:val="00EB45DC"/>
    <w:rsid w:val="00EB47C8"/>
    <w:rsid w:val="00EB57C4"/>
    <w:rsid w:val="00EB5F17"/>
    <w:rsid w:val="00EC0444"/>
    <w:rsid w:val="00EC0934"/>
    <w:rsid w:val="00EC4262"/>
    <w:rsid w:val="00EC56B9"/>
    <w:rsid w:val="00EC5886"/>
    <w:rsid w:val="00EC642C"/>
    <w:rsid w:val="00EC67BA"/>
    <w:rsid w:val="00EC6CCA"/>
    <w:rsid w:val="00EC73D5"/>
    <w:rsid w:val="00ED44E9"/>
    <w:rsid w:val="00ED453F"/>
    <w:rsid w:val="00ED62E5"/>
    <w:rsid w:val="00ED7E90"/>
    <w:rsid w:val="00ED7FEC"/>
    <w:rsid w:val="00EE0278"/>
    <w:rsid w:val="00EE10F5"/>
    <w:rsid w:val="00EE1A1D"/>
    <w:rsid w:val="00EE1B60"/>
    <w:rsid w:val="00EE263E"/>
    <w:rsid w:val="00EE2A6F"/>
    <w:rsid w:val="00EE2E76"/>
    <w:rsid w:val="00EE39FD"/>
    <w:rsid w:val="00EE3DB1"/>
    <w:rsid w:val="00EE4EB4"/>
    <w:rsid w:val="00EE6065"/>
    <w:rsid w:val="00EE6133"/>
    <w:rsid w:val="00EE62D3"/>
    <w:rsid w:val="00EE6F4E"/>
    <w:rsid w:val="00EE737C"/>
    <w:rsid w:val="00EE7B03"/>
    <w:rsid w:val="00EF0CF6"/>
    <w:rsid w:val="00EF350E"/>
    <w:rsid w:val="00EF384F"/>
    <w:rsid w:val="00EF541D"/>
    <w:rsid w:val="00EF5F00"/>
    <w:rsid w:val="00EF7507"/>
    <w:rsid w:val="00F00285"/>
    <w:rsid w:val="00F0269B"/>
    <w:rsid w:val="00F02B3E"/>
    <w:rsid w:val="00F04115"/>
    <w:rsid w:val="00F0429C"/>
    <w:rsid w:val="00F06DF9"/>
    <w:rsid w:val="00F10773"/>
    <w:rsid w:val="00F10CE9"/>
    <w:rsid w:val="00F111A0"/>
    <w:rsid w:val="00F11C49"/>
    <w:rsid w:val="00F1234C"/>
    <w:rsid w:val="00F12946"/>
    <w:rsid w:val="00F12D6A"/>
    <w:rsid w:val="00F15AF7"/>
    <w:rsid w:val="00F15CD3"/>
    <w:rsid w:val="00F20A10"/>
    <w:rsid w:val="00F21C36"/>
    <w:rsid w:val="00F22B9A"/>
    <w:rsid w:val="00F267EC"/>
    <w:rsid w:val="00F27638"/>
    <w:rsid w:val="00F276A0"/>
    <w:rsid w:val="00F32319"/>
    <w:rsid w:val="00F329D6"/>
    <w:rsid w:val="00F33D21"/>
    <w:rsid w:val="00F33F20"/>
    <w:rsid w:val="00F34739"/>
    <w:rsid w:val="00F3558D"/>
    <w:rsid w:val="00F365D0"/>
    <w:rsid w:val="00F36660"/>
    <w:rsid w:val="00F3698A"/>
    <w:rsid w:val="00F36ED1"/>
    <w:rsid w:val="00F36F32"/>
    <w:rsid w:val="00F3729F"/>
    <w:rsid w:val="00F37519"/>
    <w:rsid w:val="00F413AB"/>
    <w:rsid w:val="00F414E1"/>
    <w:rsid w:val="00F41665"/>
    <w:rsid w:val="00F42A96"/>
    <w:rsid w:val="00F4368F"/>
    <w:rsid w:val="00F436F8"/>
    <w:rsid w:val="00F43A24"/>
    <w:rsid w:val="00F43B29"/>
    <w:rsid w:val="00F44642"/>
    <w:rsid w:val="00F45542"/>
    <w:rsid w:val="00F45B4C"/>
    <w:rsid w:val="00F466F9"/>
    <w:rsid w:val="00F47826"/>
    <w:rsid w:val="00F50126"/>
    <w:rsid w:val="00F527FB"/>
    <w:rsid w:val="00F5448A"/>
    <w:rsid w:val="00F54910"/>
    <w:rsid w:val="00F54E0A"/>
    <w:rsid w:val="00F5662B"/>
    <w:rsid w:val="00F56B3C"/>
    <w:rsid w:val="00F606E7"/>
    <w:rsid w:val="00F618AD"/>
    <w:rsid w:val="00F62D37"/>
    <w:rsid w:val="00F637DD"/>
    <w:rsid w:val="00F63CF4"/>
    <w:rsid w:val="00F6642D"/>
    <w:rsid w:val="00F6796F"/>
    <w:rsid w:val="00F70E8F"/>
    <w:rsid w:val="00F76405"/>
    <w:rsid w:val="00F76858"/>
    <w:rsid w:val="00F7780D"/>
    <w:rsid w:val="00F7793E"/>
    <w:rsid w:val="00F81C3F"/>
    <w:rsid w:val="00F8229D"/>
    <w:rsid w:val="00F82AFF"/>
    <w:rsid w:val="00F836CE"/>
    <w:rsid w:val="00F83E15"/>
    <w:rsid w:val="00F84105"/>
    <w:rsid w:val="00F84446"/>
    <w:rsid w:val="00F84642"/>
    <w:rsid w:val="00F85CF4"/>
    <w:rsid w:val="00F86918"/>
    <w:rsid w:val="00F86AAB"/>
    <w:rsid w:val="00F87188"/>
    <w:rsid w:val="00F8766C"/>
    <w:rsid w:val="00F90C98"/>
    <w:rsid w:val="00F92DC5"/>
    <w:rsid w:val="00F93C1D"/>
    <w:rsid w:val="00F94909"/>
    <w:rsid w:val="00F952D5"/>
    <w:rsid w:val="00F95EFB"/>
    <w:rsid w:val="00F95F66"/>
    <w:rsid w:val="00F97CF3"/>
    <w:rsid w:val="00FA27F3"/>
    <w:rsid w:val="00FA3DF2"/>
    <w:rsid w:val="00FA5EF7"/>
    <w:rsid w:val="00FA77A3"/>
    <w:rsid w:val="00FB2CA0"/>
    <w:rsid w:val="00FB393E"/>
    <w:rsid w:val="00FB416D"/>
    <w:rsid w:val="00FB4E17"/>
    <w:rsid w:val="00FB6B21"/>
    <w:rsid w:val="00FB7224"/>
    <w:rsid w:val="00FB7B74"/>
    <w:rsid w:val="00FC11A1"/>
    <w:rsid w:val="00FC259E"/>
    <w:rsid w:val="00FC2A3C"/>
    <w:rsid w:val="00FC2A45"/>
    <w:rsid w:val="00FC5EBC"/>
    <w:rsid w:val="00FC69FC"/>
    <w:rsid w:val="00FC6C5D"/>
    <w:rsid w:val="00FD07C6"/>
    <w:rsid w:val="00FD1552"/>
    <w:rsid w:val="00FD2AD6"/>
    <w:rsid w:val="00FD4B35"/>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85CBCD"/>
  <w15:docId w15:val="{18D463D7-12DA-4911-ACEC-557BDD6D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688C"/>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E4EC8"/>
    <w:pPr>
      <w:numPr>
        <w:ilvl w:val="1"/>
      </w:numPr>
      <w:spacing w:before="36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EF0CF6"/>
    <w:pPr>
      <w:numPr>
        <w:ilvl w:val="3"/>
      </w:numPr>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E4EC8"/>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CF6"/>
    <w:rPr>
      <w:b/>
      <w:sz w:val="24"/>
      <w:szCs w:val="24"/>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49038748">
      <w:bodyDiv w:val="1"/>
      <w:marLeft w:val="0"/>
      <w:marRight w:val="0"/>
      <w:marTop w:val="0"/>
      <w:marBottom w:val="0"/>
      <w:divBdr>
        <w:top w:val="none" w:sz="0" w:space="0" w:color="auto"/>
        <w:left w:val="none" w:sz="0" w:space="0" w:color="auto"/>
        <w:bottom w:val="none" w:sz="0" w:space="0" w:color="auto"/>
        <w:right w:val="none" w:sz="0" w:space="0" w:color="auto"/>
      </w:divBdr>
      <w:divsChild>
        <w:div w:id="1658878161">
          <w:marLeft w:val="446"/>
          <w:marRight w:val="0"/>
          <w:marTop w:val="0"/>
          <w:marBottom w:val="0"/>
          <w:divBdr>
            <w:top w:val="none" w:sz="0" w:space="0" w:color="auto"/>
            <w:left w:val="none" w:sz="0" w:space="0" w:color="auto"/>
            <w:bottom w:val="none" w:sz="0" w:space="0" w:color="auto"/>
            <w:right w:val="none" w:sz="0" w:space="0" w:color="auto"/>
          </w:divBdr>
        </w:div>
      </w:divsChild>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199755280">
      <w:bodyDiv w:val="1"/>
      <w:marLeft w:val="0"/>
      <w:marRight w:val="0"/>
      <w:marTop w:val="0"/>
      <w:marBottom w:val="0"/>
      <w:divBdr>
        <w:top w:val="none" w:sz="0" w:space="0" w:color="auto"/>
        <w:left w:val="none" w:sz="0" w:space="0" w:color="auto"/>
        <w:bottom w:val="none" w:sz="0" w:space="0" w:color="auto"/>
        <w:right w:val="none" w:sz="0" w:space="0" w:color="auto"/>
      </w:divBdr>
      <w:divsChild>
        <w:div w:id="2132548610">
          <w:marLeft w:val="446"/>
          <w:marRight w:val="0"/>
          <w:marTop w:val="0"/>
          <w:marBottom w:val="0"/>
          <w:divBdr>
            <w:top w:val="none" w:sz="0" w:space="0" w:color="auto"/>
            <w:left w:val="none" w:sz="0" w:space="0" w:color="auto"/>
            <w:bottom w:val="none" w:sz="0" w:space="0" w:color="auto"/>
            <w:right w:val="none" w:sz="0" w:space="0" w:color="auto"/>
          </w:divBdr>
        </w:div>
      </w:divsChild>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87467235">
      <w:bodyDiv w:val="1"/>
      <w:marLeft w:val="0"/>
      <w:marRight w:val="0"/>
      <w:marTop w:val="0"/>
      <w:marBottom w:val="0"/>
      <w:divBdr>
        <w:top w:val="none" w:sz="0" w:space="0" w:color="auto"/>
        <w:left w:val="none" w:sz="0" w:space="0" w:color="auto"/>
        <w:bottom w:val="none" w:sz="0" w:space="0" w:color="auto"/>
        <w:right w:val="none" w:sz="0" w:space="0" w:color="auto"/>
      </w:divBdr>
      <w:divsChild>
        <w:div w:id="526717447">
          <w:marLeft w:val="446"/>
          <w:marRight w:val="0"/>
          <w:marTop w:val="0"/>
          <w:marBottom w:val="0"/>
          <w:divBdr>
            <w:top w:val="none" w:sz="0" w:space="0" w:color="auto"/>
            <w:left w:val="none" w:sz="0" w:space="0" w:color="auto"/>
            <w:bottom w:val="none" w:sz="0" w:space="0" w:color="auto"/>
            <w:right w:val="none" w:sz="0" w:space="0" w:color="auto"/>
          </w:divBdr>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493960840">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03343050">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7756030">
      <w:bodyDiv w:val="1"/>
      <w:marLeft w:val="0"/>
      <w:marRight w:val="0"/>
      <w:marTop w:val="0"/>
      <w:marBottom w:val="0"/>
      <w:divBdr>
        <w:top w:val="none" w:sz="0" w:space="0" w:color="auto"/>
        <w:left w:val="none" w:sz="0" w:space="0" w:color="auto"/>
        <w:bottom w:val="none" w:sz="0" w:space="0" w:color="auto"/>
        <w:right w:val="none" w:sz="0" w:space="0" w:color="auto"/>
      </w:divBdr>
    </w:div>
    <w:div w:id="627013548">
      <w:bodyDiv w:val="1"/>
      <w:marLeft w:val="0"/>
      <w:marRight w:val="0"/>
      <w:marTop w:val="0"/>
      <w:marBottom w:val="0"/>
      <w:divBdr>
        <w:top w:val="none" w:sz="0" w:space="0" w:color="auto"/>
        <w:left w:val="none" w:sz="0" w:space="0" w:color="auto"/>
        <w:bottom w:val="none" w:sz="0" w:space="0" w:color="auto"/>
        <w:right w:val="none" w:sz="0" w:space="0" w:color="auto"/>
      </w:divBdr>
      <w:divsChild>
        <w:div w:id="1964847979">
          <w:marLeft w:val="360"/>
          <w:marRight w:val="0"/>
          <w:marTop w:val="200"/>
          <w:marBottom w:val="0"/>
          <w:divBdr>
            <w:top w:val="none" w:sz="0" w:space="0" w:color="auto"/>
            <w:left w:val="none" w:sz="0" w:space="0" w:color="auto"/>
            <w:bottom w:val="none" w:sz="0" w:space="0" w:color="auto"/>
            <w:right w:val="none" w:sz="0" w:space="0" w:color="auto"/>
          </w:divBdr>
        </w:div>
      </w:divsChild>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30883763">
      <w:bodyDiv w:val="1"/>
      <w:marLeft w:val="0"/>
      <w:marRight w:val="0"/>
      <w:marTop w:val="0"/>
      <w:marBottom w:val="0"/>
      <w:divBdr>
        <w:top w:val="none" w:sz="0" w:space="0" w:color="auto"/>
        <w:left w:val="none" w:sz="0" w:space="0" w:color="auto"/>
        <w:bottom w:val="none" w:sz="0" w:space="0" w:color="auto"/>
        <w:right w:val="none" w:sz="0" w:space="0" w:color="auto"/>
      </w:divBdr>
      <w:divsChild>
        <w:div w:id="67843968">
          <w:marLeft w:val="446"/>
          <w:marRight w:val="0"/>
          <w:marTop w:val="0"/>
          <w:marBottom w:val="0"/>
          <w:divBdr>
            <w:top w:val="none" w:sz="0" w:space="0" w:color="auto"/>
            <w:left w:val="none" w:sz="0" w:space="0" w:color="auto"/>
            <w:bottom w:val="none" w:sz="0" w:space="0" w:color="auto"/>
            <w:right w:val="none" w:sz="0" w:space="0" w:color="auto"/>
          </w:divBdr>
        </w:div>
      </w:divsChild>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6464789">
      <w:bodyDiv w:val="1"/>
      <w:marLeft w:val="0"/>
      <w:marRight w:val="0"/>
      <w:marTop w:val="0"/>
      <w:marBottom w:val="0"/>
      <w:divBdr>
        <w:top w:val="none" w:sz="0" w:space="0" w:color="auto"/>
        <w:left w:val="none" w:sz="0" w:space="0" w:color="auto"/>
        <w:bottom w:val="none" w:sz="0" w:space="0" w:color="auto"/>
        <w:right w:val="none" w:sz="0" w:space="0" w:color="auto"/>
      </w:divBdr>
      <w:divsChild>
        <w:div w:id="1534658365">
          <w:marLeft w:val="446"/>
          <w:marRight w:val="0"/>
          <w:marTop w:val="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6173938">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53764217">
      <w:bodyDiv w:val="1"/>
      <w:marLeft w:val="0"/>
      <w:marRight w:val="0"/>
      <w:marTop w:val="0"/>
      <w:marBottom w:val="0"/>
      <w:divBdr>
        <w:top w:val="none" w:sz="0" w:space="0" w:color="auto"/>
        <w:left w:val="none" w:sz="0" w:space="0" w:color="auto"/>
        <w:bottom w:val="none" w:sz="0" w:space="0" w:color="auto"/>
        <w:right w:val="none" w:sz="0" w:space="0" w:color="auto"/>
      </w:divBdr>
      <w:divsChild>
        <w:div w:id="2071035901">
          <w:marLeft w:val="446"/>
          <w:marRight w:val="0"/>
          <w:marTop w:val="0"/>
          <w:marBottom w:val="0"/>
          <w:divBdr>
            <w:top w:val="none" w:sz="0" w:space="0" w:color="auto"/>
            <w:left w:val="none" w:sz="0" w:space="0" w:color="auto"/>
            <w:bottom w:val="none" w:sz="0" w:space="0" w:color="auto"/>
            <w:right w:val="none" w:sz="0" w:space="0" w:color="auto"/>
          </w:divBdr>
        </w:div>
      </w:divsChild>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59376335">
      <w:bodyDiv w:val="1"/>
      <w:marLeft w:val="0"/>
      <w:marRight w:val="0"/>
      <w:marTop w:val="0"/>
      <w:marBottom w:val="0"/>
      <w:divBdr>
        <w:top w:val="none" w:sz="0" w:space="0" w:color="auto"/>
        <w:left w:val="none" w:sz="0" w:space="0" w:color="auto"/>
        <w:bottom w:val="none" w:sz="0" w:space="0" w:color="auto"/>
        <w:right w:val="none" w:sz="0" w:space="0" w:color="auto"/>
      </w:divBdr>
      <w:divsChild>
        <w:div w:id="1558593459">
          <w:marLeft w:val="446"/>
          <w:marRight w:val="0"/>
          <w:marTop w:val="0"/>
          <w:marBottom w:val="0"/>
          <w:divBdr>
            <w:top w:val="none" w:sz="0" w:space="0" w:color="auto"/>
            <w:left w:val="none" w:sz="0" w:space="0" w:color="auto"/>
            <w:bottom w:val="none" w:sz="0" w:space="0" w:color="auto"/>
            <w:right w:val="none" w:sz="0" w:space="0" w:color="auto"/>
          </w:divBdr>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3778522">
      <w:bodyDiv w:val="1"/>
      <w:marLeft w:val="0"/>
      <w:marRight w:val="0"/>
      <w:marTop w:val="0"/>
      <w:marBottom w:val="0"/>
      <w:divBdr>
        <w:top w:val="none" w:sz="0" w:space="0" w:color="auto"/>
        <w:left w:val="none" w:sz="0" w:space="0" w:color="auto"/>
        <w:bottom w:val="none" w:sz="0" w:space="0" w:color="auto"/>
        <w:right w:val="none" w:sz="0" w:space="0" w:color="auto"/>
      </w:divBdr>
      <w:divsChild>
        <w:div w:id="2135712777">
          <w:marLeft w:val="446"/>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2081367118">
      <w:bodyDiv w:val="1"/>
      <w:marLeft w:val="0"/>
      <w:marRight w:val="0"/>
      <w:marTop w:val="0"/>
      <w:marBottom w:val="0"/>
      <w:divBdr>
        <w:top w:val="none" w:sz="0" w:space="0" w:color="auto"/>
        <w:left w:val="none" w:sz="0" w:space="0" w:color="auto"/>
        <w:bottom w:val="none" w:sz="0" w:space="0" w:color="auto"/>
        <w:right w:val="none" w:sz="0" w:space="0" w:color="auto"/>
      </w:divBdr>
      <w:divsChild>
        <w:div w:id="1154876543">
          <w:marLeft w:val="446"/>
          <w:marRight w:val="0"/>
          <w:marTop w:val="0"/>
          <w:marBottom w:val="0"/>
          <w:divBdr>
            <w:top w:val="none" w:sz="0" w:space="0" w:color="auto"/>
            <w:left w:val="none" w:sz="0" w:space="0" w:color="auto"/>
            <w:bottom w:val="none" w:sz="0" w:space="0" w:color="auto"/>
            <w:right w:val="none" w:sz="0" w:space="0" w:color="auto"/>
          </w:divBdr>
        </w:div>
      </w:divsChild>
    </w:div>
    <w:div w:id="2127311603">
      <w:bodyDiv w:val="1"/>
      <w:marLeft w:val="0"/>
      <w:marRight w:val="0"/>
      <w:marTop w:val="0"/>
      <w:marBottom w:val="0"/>
      <w:divBdr>
        <w:top w:val="none" w:sz="0" w:space="0" w:color="auto"/>
        <w:left w:val="none" w:sz="0" w:space="0" w:color="auto"/>
        <w:bottom w:val="none" w:sz="0" w:space="0" w:color="auto"/>
        <w:right w:val="none" w:sz="0" w:space="0" w:color="auto"/>
      </w:divBdr>
      <w:divsChild>
        <w:div w:id="158171725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10.png@01D71744.932A31F0" TargetMode="External"/><Relationship Id="rId18" Type="http://schemas.openxmlformats.org/officeDocument/2006/relationships/hyperlink" Target="https://www.itu.int/dms_pub/itu-r/oth/0c/0a/R0C0A00000D0016PDFE.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s://www.itu.int/dms_pub/itu-r/oth/0C/0A/R0C0A00000F0056PDFE.pdf" TargetMode="External"/><Relationship Id="rId2" Type="http://schemas.openxmlformats.org/officeDocument/2006/relationships/customXml" Target="../customXml/item2.xml"/><Relationship Id="rId16" Type="http://schemas.openxmlformats.org/officeDocument/2006/relationships/hyperlink" Target="https://www.itu.int/en/mediacentre/backgrounders/Pages/Earth-stations-in-motion-satellite-issues.aspx" TargetMode="External"/><Relationship Id="rId20" Type="http://schemas.openxmlformats.org/officeDocument/2006/relationships/hyperlink" Target="https://www.prnewswire.com/news-releases/connected-ships-market-size-worth-9-1-billion-by-2027--cagr-5-4-grand-view-research-inc-301047337.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cid:image012.png@01D71715.911937A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fortunebusinessinsights.com/industry-reports/connected-aircraft-market-1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C7D5AA4D-5C6F-4DC9-97D2-03EAC08F3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3066</Words>
  <Characters>17481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7</cp:revision>
  <cp:lastPrinted>2017-11-07T14:24:00Z</cp:lastPrinted>
  <dcterms:created xsi:type="dcterms:W3CDTF">2021-03-15T18:19:00Z</dcterms:created>
  <dcterms:modified xsi:type="dcterms:W3CDTF">2021-03-15T19:42:00Z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2021-03-15T13:36:10Z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